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2B14A6" w14:textId="77777777" w:rsidR="00CC65C7" w:rsidRPr="003E0870" w:rsidRDefault="00CC65C7" w:rsidP="00CC65C7">
      <w:pPr>
        <w:spacing w:before="57"/>
        <w:ind w:left="2423"/>
        <w:rPr>
          <w:b/>
          <w:sz w:val="28"/>
          <w:szCs w:val="28"/>
        </w:rPr>
      </w:pPr>
      <w:r w:rsidRPr="003E0870">
        <w:rPr>
          <w:b/>
          <w:sz w:val="28"/>
          <w:szCs w:val="28"/>
        </w:rPr>
        <w:t>STANDARD THREE – PHILOSOPHY</w:t>
      </w:r>
    </w:p>
    <w:p w14:paraId="36C3F3CE" w14:textId="77777777" w:rsidR="00CC65C7" w:rsidRPr="003E0870" w:rsidRDefault="00CC65C7" w:rsidP="00CC65C7">
      <w:pPr>
        <w:pStyle w:val="Heading5"/>
        <w:numPr>
          <w:ilvl w:val="0"/>
          <w:numId w:val="1"/>
        </w:numPr>
        <w:tabs>
          <w:tab w:val="left" w:pos="380"/>
        </w:tabs>
        <w:spacing w:before="200"/>
        <w:ind w:right="1305" w:firstLine="0"/>
        <w:rPr>
          <w:sz w:val="24"/>
          <w:szCs w:val="24"/>
        </w:rPr>
      </w:pPr>
      <w:r w:rsidRPr="003E0870">
        <w:rPr>
          <w:sz w:val="24"/>
          <w:szCs w:val="24"/>
        </w:rPr>
        <w:t>Provide your college’s Statement of Athletics Philosophy, which would affirm and support</w:t>
      </w:r>
      <w:r w:rsidRPr="003E0870">
        <w:rPr>
          <w:spacing w:val="-18"/>
          <w:sz w:val="24"/>
          <w:szCs w:val="24"/>
        </w:rPr>
        <w:t xml:space="preserve"> </w:t>
      </w:r>
      <w:r w:rsidRPr="003E0870">
        <w:rPr>
          <w:sz w:val="24"/>
          <w:szCs w:val="24"/>
        </w:rPr>
        <w:t>your Conference's Statement of</w:t>
      </w:r>
      <w:r w:rsidRPr="003E0870">
        <w:rPr>
          <w:spacing w:val="-4"/>
          <w:sz w:val="24"/>
          <w:szCs w:val="24"/>
        </w:rPr>
        <w:t xml:space="preserve"> </w:t>
      </w:r>
      <w:r w:rsidRPr="003E0870">
        <w:rPr>
          <w:sz w:val="24"/>
          <w:szCs w:val="24"/>
        </w:rPr>
        <w:t>Philosophy.</w:t>
      </w:r>
    </w:p>
    <w:p w14:paraId="166CF4F7" w14:textId="77777777" w:rsidR="00CC65C7" w:rsidRPr="003E0870" w:rsidRDefault="00CC65C7" w:rsidP="00CC65C7">
      <w:pPr>
        <w:pStyle w:val="BodyText"/>
        <w:spacing w:before="205"/>
        <w:ind w:left="120" w:right="979"/>
        <w:rPr>
          <w:sz w:val="24"/>
          <w:szCs w:val="24"/>
        </w:rPr>
      </w:pPr>
      <w:r w:rsidRPr="003E0870">
        <w:rPr>
          <w:sz w:val="24"/>
          <w:szCs w:val="24"/>
        </w:rPr>
        <w:t>Aligning with our college mission statement, the Athletic Department strives to provide an academically rich, multicultural learning environment that challenges athletes of every background to develop their intellect, character and abilities; to realize their goals; and to be socially responsible leaders in their communities, the nation and the world.</w:t>
      </w:r>
    </w:p>
    <w:p w14:paraId="6CFE5403" w14:textId="77777777" w:rsidR="00CC65C7" w:rsidRPr="003E0870" w:rsidRDefault="00CC65C7" w:rsidP="00CC65C7">
      <w:pPr>
        <w:pStyle w:val="BodyText"/>
        <w:spacing w:before="8"/>
        <w:rPr>
          <w:sz w:val="24"/>
          <w:szCs w:val="24"/>
        </w:rPr>
      </w:pPr>
    </w:p>
    <w:p w14:paraId="73E9DE57" w14:textId="55E9D532" w:rsidR="00CC65C7" w:rsidRPr="003E0870" w:rsidRDefault="00DD1F1E" w:rsidP="00CC65C7">
      <w:pPr>
        <w:pStyle w:val="BodyText"/>
        <w:spacing w:before="1"/>
        <w:ind w:left="120" w:right="960"/>
        <w:rPr>
          <w:sz w:val="24"/>
          <w:szCs w:val="24"/>
        </w:rPr>
      </w:pPr>
      <w:r w:rsidRPr="003E0870">
        <w:rPr>
          <w:b/>
          <w:sz w:val="24"/>
          <w:szCs w:val="24"/>
        </w:rPr>
        <w:t>Mission Statement:</w:t>
      </w:r>
      <w:r w:rsidRPr="003E0870">
        <w:rPr>
          <w:sz w:val="24"/>
          <w:szCs w:val="24"/>
        </w:rPr>
        <w:t xml:space="preserve"> "The Athletics Department is an integral part of the Physical Education &amp; Athletics Division. The department's mission is to provide an athletic program that has a holistic approach (mind and body) through education and competition. Athletics contributes to discipline, integrity, leadership, life skills, social responsibility, sportsmanship, and teamwork. We are champions in promoting ethnic and cultural diversity."</w:t>
      </w:r>
    </w:p>
    <w:p w14:paraId="6E039521" w14:textId="77777777" w:rsidR="00CC65C7" w:rsidRPr="003E0870" w:rsidRDefault="00CC65C7" w:rsidP="00CC65C7">
      <w:pPr>
        <w:pStyle w:val="BodyText"/>
        <w:spacing w:before="2"/>
        <w:rPr>
          <w:sz w:val="24"/>
          <w:szCs w:val="24"/>
        </w:rPr>
      </w:pPr>
    </w:p>
    <w:p w14:paraId="1A7D17FD" w14:textId="77777777" w:rsidR="00CC65C7" w:rsidRPr="003E0870" w:rsidRDefault="00CC65C7" w:rsidP="00CC65C7">
      <w:pPr>
        <w:pStyle w:val="BodyText"/>
        <w:ind w:left="120" w:right="863"/>
        <w:rPr>
          <w:sz w:val="24"/>
          <w:szCs w:val="24"/>
        </w:rPr>
      </w:pPr>
      <w:r w:rsidRPr="003E0870">
        <w:rPr>
          <w:sz w:val="24"/>
          <w:szCs w:val="24"/>
        </w:rPr>
        <w:t>De Anza College Athletics is committed to student success and promotes this by motivating student- athletes to excel both in the classroom and in their respective sports. The Athletic Department includes 17 sports, with 8 men’s programs and 9 women’s programs. These programs offer a wide array of athletics opportunities for our diverse student-athlete population.</w:t>
      </w:r>
    </w:p>
    <w:p w14:paraId="4C0E0845" w14:textId="77777777" w:rsidR="00CC65C7" w:rsidRPr="003E0870" w:rsidRDefault="00CC65C7" w:rsidP="00CC65C7">
      <w:pPr>
        <w:pStyle w:val="BodyText"/>
        <w:spacing w:before="8"/>
        <w:rPr>
          <w:sz w:val="24"/>
          <w:szCs w:val="24"/>
        </w:rPr>
      </w:pPr>
    </w:p>
    <w:p w14:paraId="51602438" w14:textId="77777777" w:rsidR="00CC65C7" w:rsidRPr="003E0870" w:rsidRDefault="00CC65C7" w:rsidP="00CC65C7">
      <w:pPr>
        <w:pStyle w:val="BodyText"/>
        <w:ind w:left="120" w:right="1127"/>
        <w:rPr>
          <w:sz w:val="24"/>
          <w:szCs w:val="24"/>
        </w:rPr>
      </w:pPr>
      <w:r w:rsidRPr="003E0870">
        <w:rPr>
          <w:sz w:val="24"/>
          <w:szCs w:val="24"/>
        </w:rPr>
        <w:t>De Anza College has a rich tradition of academic excellence, and our athletic programs mirror that excellence by producing athletes that are highly prepared for success, as they transfer to complete their bachelor’s degrees.</w:t>
      </w:r>
    </w:p>
    <w:p w14:paraId="705A5A6C" w14:textId="77777777" w:rsidR="00CC65C7" w:rsidRPr="003E0870" w:rsidRDefault="00CC65C7" w:rsidP="00CC65C7">
      <w:pPr>
        <w:pStyle w:val="BodyText"/>
        <w:rPr>
          <w:sz w:val="24"/>
          <w:szCs w:val="24"/>
        </w:rPr>
      </w:pPr>
    </w:p>
    <w:p w14:paraId="554BD885" w14:textId="77777777" w:rsidR="00CC65C7" w:rsidRPr="003E0870" w:rsidRDefault="00CC65C7" w:rsidP="00CC65C7">
      <w:pPr>
        <w:pStyle w:val="Heading5"/>
        <w:numPr>
          <w:ilvl w:val="0"/>
          <w:numId w:val="1"/>
        </w:numPr>
        <w:tabs>
          <w:tab w:val="left" w:pos="380"/>
        </w:tabs>
        <w:spacing w:before="179"/>
        <w:ind w:left="379" w:hanging="261"/>
        <w:rPr>
          <w:sz w:val="24"/>
          <w:szCs w:val="24"/>
        </w:rPr>
      </w:pPr>
      <w:r w:rsidRPr="003E0870">
        <w:rPr>
          <w:sz w:val="24"/>
          <w:szCs w:val="24"/>
        </w:rPr>
        <w:t xml:space="preserve">What is your college’s philosophy on athletic </w:t>
      </w:r>
      <w:r w:rsidRPr="003E0870">
        <w:rPr>
          <w:spacing w:val="-3"/>
          <w:sz w:val="24"/>
          <w:szCs w:val="24"/>
        </w:rPr>
        <w:t>gender</w:t>
      </w:r>
      <w:r w:rsidRPr="003E0870">
        <w:rPr>
          <w:spacing w:val="8"/>
          <w:sz w:val="24"/>
          <w:szCs w:val="24"/>
        </w:rPr>
        <w:t xml:space="preserve"> </w:t>
      </w:r>
      <w:r w:rsidRPr="003E0870">
        <w:rPr>
          <w:sz w:val="24"/>
          <w:szCs w:val="24"/>
        </w:rPr>
        <w:t>equity?</w:t>
      </w:r>
    </w:p>
    <w:p w14:paraId="59BE46BF" w14:textId="77777777" w:rsidR="00CC65C7" w:rsidRPr="003E0870" w:rsidRDefault="00CC65C7" w:rsidP="00CC65C7">
      <w:pPr>
        <w:pStyle w:val="BodyText"/>
        <w:spacing w:before="199"/>
        <w:ind w:left="120" w:right="998"/>
        <w:rPr>
          <w:sz w:val="24"/>
          <w:szCs w:val="24"/>
        </w:rPr>
      </w:pPr>
      <w:r w:rsidRPr="003E0870">
        <w:rPr>
          <w:sz w:val="24"/>
          <w:szCs w:val="24"/>
        </w:rPr>
        <w:t>We welcome students of all ages and backgrounds and connect with them, in their range of unique circumstances, to help them fulfill their dreams. We strive to design classes and services to the needs of those we serve. We value and embrace the intellectual contributions of a diverse spectrum of people and cultures. We strive for a diverse workforce that honors the contributions of all who work here.</w:t>
      </w:r>
    </w:p>
    <w:p w14:paraId="73AD04D2" w14:textId="77777777" w:rsidR="00CC65C7" w:rsidRPr="003E0870" w:rsidRDefault="00CC65C7" w:rsidP="00CC65C7">
      <w:pPr>
        <w:pStyle w:val="BodyText"/>
        <w:spacing w:before="2"/>
        <w:rPr>
          <w:sz w:val="24"/>
          <w:szCs w:val="24"/>
        </w:rPr>
      </w:pPr>
    </w:p>
    <w:p w14:paraId="4F9EDAA8" w14:textId="0D0B16E0" w:rsidR="00CC65C7" w:rsidRPr="003E0870" w:rsidRDefault="00CC65C7" w:rsidP="00CC65C7">
      <w:pPr>
        <w:pStyle w:val="BodyText"/>
        <w:ind w:left="120" w:right="1083"/>
        <w:rPr>
          <w:sz w:val="24"/>
          <w:szCs w:val="24"/>
        </w:rPr>
      </w:pPr>
      <w:r w:rsidRPr="003E0870">
        <w:rPr>
          <w:sz w:val="24"/>
          <w:szCs w:val="24"/>
        </w:rPr>
        <w:t xml:space="preserve">De Anza College is committed to providing equitable athletic opportunities, teams, and facilities for gender equity. De Anza College satisfies Title IX by using Test 3 of Title IX. De Anza has an Athletics Interest Survey, as part of the </w:t>
      </w:r>
      <w:proofErr w:type="spellStart"/>
      <w:r w:rsidRPr="003E0870">
        <w:rPr>
          <w:sz w:val="24"/>
          <w:szCs w:val="24"/>
        </w:rPr>
        <w:t>CCCApply</w:t>
      </w:r>
      <w:proofErr w:type="spellEnd"/>
      <w:r w:rsidRPr="003E0870">
        <w:rPr>
          <w:sz w:val="24"/>
          <w:szCs w:val="24"/>
        </w:rPr>
        <w:t xml:space="preserve"> application process. In addition, De Anza has offered more women’s sports than men’s sports for about the last 15 years. The </w:t>
      </w:r>
      <w:proofErr w:type="spellStart"/>
      <w:r w:rsidRPr="003E0870">
        <w:rPr>
          <w:sz w:val="24"/>
          <w:szCs w:val="24"/>
        </w:rPr>
        <w:t>CCCApply</w:t>
      </w:r>
      <w:proofErr w:type="spellEnd"/>
      <w:r w:rsidRPr="003E0870">
        <w:rPr>
          <w:sz w:val="24"/>
          <w:szCs w:val="24"/>
        </w:rPr>
        <w:t xml:space="preserve"> Survey helps De Anza Athletics determine what kind of interest there is in sports for those applying to De Anza College.</w:t>
      </w:r>
      <w:r w:rsidR="00DD1F1E" w:rsidRPr="003E0870">
        <w:rPr>
          <w:sz w:val="24"/>
          <w:szCs w:val="24"/>
        </w:rPr>
        <w:t xml:space="preserve"> We utilized this information – including a college shared governance process and approval – to add Women’s Beach Volleyball to start competition in the CCCAA spring season of 2022.</w:t>
      </w:r>
    </w:p>
    <w:p w14:paraId="1C374E4D" w14:textId="77777777" w:rsidR="00CC65C7" w:rsidRPr="003E0870" w:rsidRDefault="00CC65C7" w:rsidP="00CC65C7">
      <w:pPr>
        <w:pStyle w:val="BodyText"/>
        <w:spacing w:before="10"/>
        <w:rPr>
          <w:sz w:val="24"/>
          <w:szCs w:val="24"/>
        </w:rPr>
      </w:pPr>
    </w:p>
    <w:p w14:paraId="3E3823B2" w14:textId="1B00BD33" w:rsidR="00CC65C7" w:rsidRDefault="00CC65C7" w:rsidP="00A326F9">
      <w:pPr>
        <w:pStyle w:val="BodyText"/>
        <w:ind w:left="120" w:right="863"/>
        <w:rPr>
          <w:sz w:val="24"/>
          <w:szCs w:val="24"/>
        </w:rPr>
      </w:pPr>
      <w:r w:rsidRPr="003E0870">
        <w:rPr>
          <w:sz w:val="24"/>
          <w:szCs w:val="24"/>
        </w:rPr>
        <w:t xml:space="preserve">In addition to balancing the playing opportunity between genders, De Anza College Athletics is committed to keeping balance with regard to operating expenses, recruiting expenses, and salaries for coaches. As it pertains to coaching status, the department is committed to keeping balance between men’s and women’s programs with regard to full-time and part-time status of head coaches, ensuring full-time faculty </w:t>
      </w:r>
      <w:r w:rsidRPr="003E0870">
        <w:rPr>
          <w:sz w:val="24"/>
          <w:szCs w:val="24"/>
        </w:rPr>
        <w:lastRenderedPageBreak/>
        <w:t>influence is balanced across sports in both genders. In doing this, we feel we can provide an equitable environment for all men and women in our programs to succeed.</w:t>
      </w:r>
    </w:p>
    <w:p w14:paraId="06670008" w14:textId="77777777" w:rsidR="00A326F9" w:rsidRPr="003E0870" w:rsidRDefault="00A326F9" w:rsidP="00A326F9">
      <w:pPr>
        <w:pStyle w:val="BodyText"/>
        <w:ind w:left="120" w:right="863"/>
        <w:rPr>
          <w:sz w:val="24"/>
          <w:szCs w:val="24"/>
        </w:rPr>
      </w:pPr>
      <w:bookmarkStart w:id="0" w:name="_GoBack"/>
      <w:bookmarkEnd w:id="0"/>
    </w:p>
    <w:p w14:paraId="0ABE29F3" w14:textId="77777777" w:rsidR="00CC65C7" w:rsidRPr="003E0870" w:rsidRDefault="00CC65C7" w:rsidP="00CC65C7">
      <w:pPr>
        <w:pStyle w:val="Heading5"/>
        <w:numPr>
          <w:ilvl w:val="0"/>
          <w:numId w:val="1"/>
        </w:numPr>
        <w:tabs>
          <w:tab w:val="left" w:pos="380"/>
        </w:tabs>
        <w:ind w:left="379"/>
        <w:rPr>
          <w:sz w:val="24"/>
          <w:szCs w:val="24"/>
        </w:rPr>
      </w:pPr>
      <w:r w:rsidRPr="003E0870">
        <w:rPr>
          <w:sz w:val="24"/>
          <w:szCs w:val="24"/>
        </w:rPr>
        <w:t>What is your college athletic recruiting</w:t>
      </w:r>
      <w:r w:rsidRPr="003E0870">
        <w:rPr>
          <w:spacing w:val="4"/>
          <w:sz w:val="24"/>
          <w:szCs w:val="24"/>
        </w:rPr>
        <w:t xml:space="preserve"> </w:t>
      </w:r>
      <w:r w:rsidRPr="003E0870">
        <w:rPr>
          <w:sz w:val="24"/>
          <w:szCs w:val="24"/>
        </w:rPr>
        <w:t>philosophy?</w:t>
      </w:r>
    </w:p>
    <w:p w14:paraId="1CB0735D" w14:textId="03637EB6" w:rsidR="00A326F9" w:rsidRPr="003E0870" w:rsidRDefault="00CC65C7" w:rsidP="00A326F9">
      <w:pPr>
        <w:pStyle w:val="BodyText"/>
        <w:spacing w:before="83" w:line="237" w:lineRule="auto"/>
        <w:ind w:left="120" w:right="869"/>
        <w:rPr>
          <w:sz w:val="24"/>
          <w:szCs w:val="24"/>
        </w:rPr>
      </w:pPr>
      <w:r w:rsidRPr="003E0870">
        <w:rPr>
          <w:sz w:val="24"/>
          <w:szCs w:val="24"/>
        </w:rPr>
        <w:t>De Anza College is considered a “Regional Community College” and has a great reputation for being a strong transfer school in Northern California. Regardless, De Anza athletic teams primarily recruit In- District and Contiguous District for all of the sports. De Anza does attract students from all over the South Bay Area and Santa Clara County. Approximately 70% of De Anza student-athletes are from In-</w:t>
      </w:r>
      <w:r w:rsidR="00A326F9" w:rsidRPr="003E0870">
        <w:rPr>
          <w:sz w:val="24"/>
          <w:szCs w:val="24"/>
        </w:rPr>
        <w:t>District and Contiguous Recruiting area. About 75% of De Anza college students are from In-District and Contiguous District.</w:t>
      </w:r>
    </w:p>
    <w:p w14:paraId="3846708E" w14:textId="77777777" w:rsidR="00A326F9" w:rsidRPr="003E0870" w:rsidRDefault="00A326F9" w:rsidP="00A326F9">
      <w:pPr>
        <w:pStyle w:val="BodyText"/>
        <w:spacing w:before="2"/>
        <w:rPr>
          <w:sz w:val="24"/>
          <w:szCs w:val="24"/>
        </w:rPr>
      </w:pPr>
    </w:p>
    <w:p w14:paraId="0158D327" w14:textId="77777777" w:rsidR="00A326F9" w:rsidRPr="003E0870" w:rsidRDefault="00A326F9" w:rsidP="00A326F9">
      <w:pPr>
        <w:pStyle w:val="BodyText"/>
        <w:ind w:left="120" w:right="942"/>
        <w:rPr>
          <w:sz w:val="24"/>
          <w:szCs w:val="24"/>
        </w:rPr>
      </w:pPr>
      <w:r w:rsidRPr="003E0870">
        <w:rPr>
          <w:sz w:val="24"/>
          <w:szCs w:val="24"/>
        </w:rPr>
        <w:t>Many Football and Men’s Basketball players on the De Anza teams are from out-of-state to California to play community college sports. This is a system-wide phenomenon.</w:t>
      </w:r>
    </w:p>
    <w:p w14:paraId="47A9314B" w14:textId="77777777" w:rsidR="00A326F9" w:rsidRPr="003E0870" w:rsidRDefault="00A326F9" w:rsidP="00A326F9">
      <w:pPr>
        <w:pStyle w:val="BodyText"/>
        <w:rPr>
          <w:sz w:val="24"/>
          <w:szCs w:val="24"/>
        </w:rPr>
      </w:pPr>
    </w:p>
    <w:p w14:paraId="40D4F7F1" w14:textId="77777777" w:rsidR="00A326F9" w:rsidRPr="003E0870" w:rsidRDefault="00A326F9" w:rsidP="00A326F9">
      <w:pPr>
        <w:pStyle w:val="Heading5"/>
        <w:numPr>
          <w:ilvl w:val="0"/>
          <w:numId w:val="1"/>
        </w:numPr>
        <w:tabs>
          <w:tab w:val="left" w:pos="394"/>
        </w:tabs>
        <w:spacing w:before="178"/>
        <w:ind w:left="393" w:hanging="274"/>
        <w:rPr>
          <w:sz w:val="24"/>
          <w:szCs w:val="24"/>
        </w:rPr>
      </w:pPr>
      <w:r w:rsidRPr="003E0870">
        <w:rPr>
          <w:sz w:val="24"/>
          <w:szCs w:val="24"/>
        </w:rPr>
        <w:t xml:space="preserve">Do you have a written statement </w:t>
      </w:r>
      <w:r w:rsidRPr="003E0870">
        <w:rPr>
          <w:spacing w:val="-3"/>
          <w:sz w:val="24"/>
          <w:szCs w:val="24"/>
        </w:rPr>
        <w:t xml:space="preserve">on </w:t>
      </w:r>
      <w:r w:rsidRPr="003E0870">
        <w:rPr>
          <w:sz w:val="24"/>
          <w:szCs w:val="24"/>
        </w:rPr>
        <w:t>athletic recruiting philosophy? If so, enclose</w:t>
      </w:r>
      <w:r w:rsidRPr="003E0870">
        <w:rPr>
          <w:spacing w:val="-7"/>
          <w:sz w:val="24"/>
          <w:szCs w:val="24"/>
        </w:rPr>
        <w:t xml:space="preserve"> </w:t>
      </w:r>
      <w:r w:rsidRPr="003E0870">
        <w:rPr>
          <w:sz w:val="24"/>
          <w:szCs w:val="24"/>
        </w:rPr>
        <w:t>it.</w:t>
      </w:r>
    </w:p>
    <w:p w14:paraId="4538BADB" w14:textId="77777777" w:rsidR="00A326F9" w:rsidRPr="003E0870" w:rsidRDefault="00A326F9" w:rsidP="00A326F9">
      <w:pPr>
        <w:pStyle w:val="BodyText"/>
        <w:spacing w:before="199"/>
        <w:ind w:left="120"/>
        <w:rPr>
          <w:sz w:val="24"/>
          <w:szCs w:val="24"/>
        </w:rPr>
      </w:pPr>
      <w:r w:rsidRPr="003E0870">
        <w:rPr>
          <w:sz w:val="24"/>
          <w:szCs w:val="24"/>
        </w:rPr>
        <w:t>No</w:t>
      </w:r>
    </w:p>
    <w:p w14:paraId="2C654963" w14:textId="77777777" w:rsidR="00A326F9" w:rsidRPr="003E0870" w:rsidRDefault="00A326F9" w:rsidP="00A326F9">
      <w:pPr>
        <w:pStyle w:val="BodyText"/>
        <w:rPr>
          <w:sz w:val="24"/>
          <w:szCs w:val="24"/>
        </w:rPr>
      </w:pPr>
    </w:p>
    <w:p w14:paraId="44BD2F09" w14:textId="77777777" w:rsidR="00A326F9" w:rsidRPr="003E0870" w:rsidRDefault="00A326F9" w:rsidP="00A326F9">
      <w:pPr>
        <w:pStyle w:val="BodyText"/>
        <w:rPr>
          <w:sz w:val="24"/>
          <w:szCs w:val="24"/>
        </w:rPr>
      </w:pPr>
    </w:p>
    <w:p w14:paraId="28C23E78" w14:textId="77777777" w:rsidR="00A326F9" w:rsidRPr="003E0870" w:rsidRDefault="00A326F9" w:rsidP="00A326F9">
      <w:pPr>
        <w:spacing w:before="183"/>
        <w:ind w:left="120"/>
        <w:rPr>
          <w:b/>
          <w:sz w:val="24"/>
          <w:szCs w:val="24"/>
        </w:rPr>
      </w:pPr>
      <w:r w:rsidRPr="003E0870">
        <w:rPr>
          <w:b/>
          <w:sz w:val="24"/>
          <w:szCs w:val="24"/>
        </w:rPr>
        <w:t>Forms/Links (See Appendix 3)</w:t>
      </w:r>
    </w:p>
    <w:p w14:paraId="2EF61403" w14:textId="77777777" w:rsidR="00A326F9" w:rsidRPr="003E0870" w:rsidRDefault="00A326F9" w:rsidP="00A326F9">
      <w:pPr>
        <w:pStyle w:val="BodyText"/>
        <w:spacing w:before="10"/>
        <w:rPr>
          <w:b/>
          <w:sz w:val="24"/>
          <w:szCs w:val="24"/>
        </w:rPr>
      </w:pPr>
    </w:p>
    <w:p w14:paraId="316A8577" w14:textId="77777777" w:rsidR="00A326F9" w:rsidRPr="003E0870" w:rsidRDefault="00A326F9" w:rsidP="00A326F9">
      <w:pPr>
        <w:pStyle w:val="ListParagraph"/>
        <w:numPr>
          <w:ilvl w:val="1"/>
          <w:numId w:val="1"/>
        </w:numPr>
        <w:tabs>
          <w:tab w:val="left" w:pos="840"/>
          <w:tab w:val="left" w:pos="841"/>
        </w:tabs>
        <w:rPr>
          <w:sz w:val="24"/>
          <w:szCs w:val="24"/>
        </w:rPr>
      </w:pPr>
      <w:r w:rsidRPr="003E0870">
        <w:rPr>
          <w:sz w:val="24"/>
          <w:szCs w:val="24"/>
        </w:rPr>
        <w:t>See De Anza College Mission</w:t>
      </w:r>
      <w:r w:rsidRPr="003E0870">
        <w:rPr>
          <w:spacing w:val="-8"/>
          <w:sz w:val="24"/>
          <w:szCs w:val="24"/>
        </w:rPr>
        <w:t xml:space="preserve"> </w:t>
      </w:r>
      <w:r w:rsidRPr="003E0870">
        <w:rPr>
          <w:sz w:val="24"/>
          <w:szCs w:val="24"/>
        </w:rPr>
        <w:t>Statement</w:t>
      </w:r>
    </w:p>
    <w:p w14:paraId="5E8EFFEB" w14:textId="77777777" w:rsidR="00A326F9" w:rsidRPr="003E0870" w:rsidRDefault="00A326F9" w:rsidP="00A326F9">
      <w:pPr>
        <w:pStyle w:val="BodyText"/>
        <w:rPr>
          <w:sz w:val="24"/>
          <w:szCs w:val="24"/>
        </w:rPr>
      </w:pPr>
    </w:p>
    <w:p w14:paraId="2EFCC479" w14:textId="77777777" w:rsidR="00A326F9" w:rsidRPr="003E0870" w:rsidRDefault="00A326F9" w:rsidP="00A326F9">
      <w:pPr>
        <w:pStyle w:val="ListParagraph"/>
        <w:numPr>
          <w:ilvl w:val="1"/>
          <w:numId w:val="1"/>
        </w:numPr>
        <w:tabs>
          <w:tab w:val="left" w:pos="840"/>
          <w:tab w:val="left" w:pos="841"/>
        </w:tabs>
        <w:rPr>
          <w:sz w:val="24"/>
          <w:szCs w:val="24"/>
        </w:rPr>
      </w:pPr>
      <w:r w:rsidRPr="003E0870">
        <w:rPr>
          <w:sz w:val="24"/>
          <w:szCs w:val="24"/>
        </w:rPr>
        <w:t>See Appendix 9 – See De Anza Student-Athlete Male and Female</w:t>
      </w:r>
      <w:r w:rsidRPr="003E0870">
        <w:rPr>
          <w:spacing w:val="-9"/>
          <w:sz w:val="24"/>
          <w:szCs w:val="24"/>
        </w:rPr>
        <w:t xml:space="preserve"> </w:t>
      </w:r>
      <w:r w:rsidRPr="003E0870">
        <w:rPr>
          <w:sz w:val="24"/>
          <w:szCs w:val="24"/>
        </w:rPr>
        <w:t>Data</w:t>
      </w:r>
    </w:p>
    <w:p w14:paraId="5362A827" w14:textId="77777777" w:rsidR="005D5098" w:rsidRPr="003E0870" w:rsidRDefault="005D5098">
      <w:pPr>
        <w:rPr>
          <w:sz w:val="24"/>
          <w:szCs w:val="24"/>
        </w:rPr>
      </w:pPr>
    </w:p>
    <w:sectPr w:rsidR="005D5098" w:rsidRPr="003E0870" w:rsidSect="00551270">
      <w:pgSz w:w="12240" w:h="15840"/>
      <w:pgMar w:top="144"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97393A"/>
    <w:multiLevelType w:val="hybridMultilevel"/>
    <w:tmpl w:val="635AD864"/>
    <w:lvl w:ilvl="0" w:tplc="22B6EED6">
      <w:start w:val="1"/>
      <w:numFmt w:val="upperLetter"/>
      <w:lvlText w:val="%1."/>
      <w:lvlJc w:val="left"/>
      <w:pPr>
        <w:ind w:left="120" w:hanging="260"/>
      </w:pPr>
      <w:rPr>
        <w:rFonts w:ascii="Times New Roman" w:eastAsia="Times New Roman" w:hAnsi="Times New Roman" w:cs="Times New Roman" w:hint="default"/>
        <w:b/>
        <w:bCs/>
        <w:i/>
        <w:spacing w:val="0"/>
        <w:w w:val="100"/>
        <w:sz w:val="22"/>
        <w:szCs w:val="22"/>
      </w:rPr>
    </w:lvl>
    <w:lvl w:ilvl="1" w:tplc="31B2CE18">
      <w:numFmt w:val="bullet"/>
      <w:lvlText w:val=""/>
      <w:lvlJc w:val="left"/>
      <w:pPr>
        <w:ind w:left="840" w:hanging="361"/>
      </w:pPr>
      <w:rPr>
        <w:rFonts w:ascii="Symbol" w:eastAsia="Symbol" w:hAnsi="Symbol" w:cs="Symbol" w:hint="default"/>
        <w:w w:val="100"/>
        <w:sz w:val="22"/>
        <w:szCs w:val="22"/>
      </w:rPr>
    </w:lvl>
    <w:lvl w:ilvl="2" w:tplc="2CBA4A92">
      <w:numFmt w:val="bullet"/>
      <w:lvlText w:val="•"/>
      <w:lvlJc w:val="left"/>
      <w:pPr>
        <w:ind w:left="1893" w:hanging="361"/>
      </w:pPr>
      <w:rPr>
        <w:rFonts w:hint="default"/>
      </w:rPr>
    </w:lvl>
    <w:lvl w:ilvl="3" w:tplc="492ED0C8">
      <w:numFmt w:val="bullet"/>
      <w:lvlText w:val="•"/>
      <w:lvlJc w:val="left"/>
      <w:pPr>
        <w:ind w:left="2946" w:hanging="361"/>
      </w:pPr>
      <w:rPr>
        <w:rFonts w:hint="default"/>
      </w:rPr>
    </w:lvl>
    <w:lvl w:ilvl="4" w:tplc="36C20354">
      <w:numFmt w:val="bullet"/>
      <w:lvlText w:val="•"/>
      <w:lvlJc w:val="left"/>
      <w:pPr>
        <w:ind w:left="4000" w:hanging="361"/>
      </w:pPr>
      <w:rPr>
        <w:rFonts w:hint="default"/>
      </w:rPr>
    </w:lvl>
    <w:lvl w:ilvl="5" w:tplc="FADC5A54">
      <w:numFmt w:val="bullet"/>
      <w:lvlText w:val="•"/>
      <w:lvlJc w:val="left"/>
      <w:pPr>
        <w:ind w:left="5053" w:hanging="361"/>
      </w:pPr>
      <w:rPr>
        <w:rFonts w:hint="default"/>
      </w:rPr>
    </w:lvl>
    <w:lvl w:ilvl="6" w:tplc="D48EF08A">
      <w:numFmt w:val="bullet"/>
      <w:lvlText w:val="•"/>
      <w:lvlJc w:val="left"/>
      <w:pPr>
        <w:ind w:left="6106" w:hanging="361"/>
      </w:pPr>
      <w:rPr>
        <w:rFonts w:hint="default"/>
      </w:rPr>
    </w:lvl>
    <w:lvl w:ilvl="7" w:tplc="A7923732">
      <w:numFmt w:val="bullet"/>
      <w:lvlText w:val="•"/>
      <w:lvlJc w:val="left"/>
      <w:pPr>
        <w:ind w:left="7160" w:hanging="361"/>
      </w:pPr>
      <w:rPr>
        <w:rFonts w:hint="default"/>
      </w:rPr>
    </w:lvl>
    <w:lvl w:ilvl="8" w:tplc="F6EEAAF2">
      <w:numFmt w:val="bullet"/>
      <w:lvlText w:val="•"/>
      <w:lvlJc w:val="left"/>
      <w:pPr>
        <w:ind w:left="8213" w:hanging="361"/>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5C7"/>
    <w:rsid w:val="003E0870"/>
    <w:rsid w:val="00551270"/>
    <w:rsid w:val="005D5098"/>
    <w:rsid w:val="006410EC"/>
    <w:rsid w:val="00A326F9"/>
    <w:rsid w:val="00CC65C7"/>
    <w:rsid w:val="00DD1F1E"/>
    <w:rsid w:val="00E60C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E9476"/>
  <w15:chartTrackingRefBased/>
  <w15:docId w15:val="{C8F0DA53-01F7-A84C-9AA3-1C1D2E7C6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C65C7"/>
    <w:pPr>
      <w:widowControl w:val="0"/>
      <w:autoSpaceDE w:val="0"/>
      <w:autoSpaceDN w:val="0"/>
    </w:pPr>
    <w:rPr>
      <w:rFonts w:ascii="Times New Roman" w:eastAsia="Times New Roman" w:hAnsi="Times New Roman" w:cs="Times New Roman"/>
      <w:sz w:val="22"/>
      <w:szCs w:val="22"/>
    </w:rPr>
  </w:style>
  <w:style w:type="paragraph" w:styleId="Heading5">
    <w:name w:val="heading 5"/>
    <w:basedOn w:val="Normal"/>
    <w:link w:val="Heading5Char"/>
    <w:uiPriority w:val="9"/>
    <w:unhideWhenUsed/>
    <w:qFormat/>
    <w:rsid w:val="00CC65C7"/>
    <w:pPr>
      <w:spacing w:before="155"/>
      <w:ind w:left="379" w:hanging="274"/>
      <w:outlineLvl w:val="4"/>
    </w:pPr>
    <w:rPr>
      <w:b/>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CC65C7"/>
    <w:rPr>
      <w:rFonts w:ascii="Times New Roman" w:eastAsia="Times New Roman" w:hAnsi="Times New Roman" w:cs="Times New Roman"/>
      <w:b/>
      <w:bCs/>
      <w:i/>
      <w:sz w:val="22"/>
      <w:szCs w:val="22"/>
    </w:rPr>
  </w:style>
  <w:style w:type="paragraph" w:styleId="BodyText">
    <w:name w:val="Body Text"/>
    <w:basedOn w:val="Normal"/>
    <w:link w:val="BodyTextChar"/>
    <w:uiPriority w:val="1"/>
    <w:qFormat/>
    <w:rsid w:val="00CC65C7"/>
  </w:style>
  <w:style w:type="character" w:customStyle="1" w:styleId="BodyTextChar">
    <w:name w:val="Body Text Char"/>
    <w:basedOn w:val="DefaultParagraphFont"/>
    <w:link w:val="BodyText"/>
    <w:uiPriority w:val="1"/>
    <w:rsid w:val="00CC65C7"/>
    <w:rPr>
      <w:rFonts w:ascii="Times New Roman" w:eastAsia="Times New Roman" w:hAnsi="Times New Roman" w:cs="Times New Roman"/>
      <w:sz w:val="22"/>
      <w:szCs w:val="22"/>
    </w:rPr>
  </w:style>
  <w:style w:type="paragraph" w:styleId="ListParagraph">
    <w:name w:val="List Paragraph"/>
    <w:basedOn w:val="Normal"/>
    <w:uiPriority w:val="1"/>
    <w:qFormat/>
    <w:rsid w:val="00CC65C7"/>
    <w:pPr>
      <w:ind w:left="840" w:hanging="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421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635</Words>
  <Characters>3622</Characters>
  <Application>Microsoft Office Word</Application>
  <DocSecurity>0</DocSecurity>
  <Lines>30</Lines>
  <Paragraphs>8</Paragraphs>
  <ScaleCrop>false</ScaleCrop>
  <Company/>
  <LinksUpToDate>false</LinksUpToDate>
  <CharactersWithSpaces>4249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2022-02-16T23:16:00Z</dcterms:created>
  <dcterms:modified xsi:type="dcterms:W3CDTF">2022-02-18T04:29:00Z</dcterms:modified>
</cp:coreProperties>
</file>