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05EE3E" w14:textId="480F6BBA" w:rsidR="00DB7583" w:rsidRPr="00714F04" w:rsidRDefault="00DB7583" w:rsidP="003E753A">
      <w:pPr>
        <w:pStyle w:val="Heading1"/>
      </w:pPr>
      <w:r w:rsidRPr="00714F04">
        <w:t>Program Review Institutional Profile</w:t>
      </w:r>
      <w:r w:rsidR="00E94256">
        <w:t xml:space="preserve"> 2022</w:t>
      </w:r>
    </w:p>
    <w:p w14:paraId="4E917F9D" w14:textId="77777777" w:rsidR="00DB7583" w:rsidRPr="00714F04" w:rsidRDefault="00DB7583" w:rsidP="00714F04">
      <w:pPr>
        <w:pStyle w:val="BodyText"/>
        <w:rPr>
          <w:rFonts w:asciiTheme="minorHAnsi" w:hAnsiTheme="minorHAnsi"/>
          <w:b/>
          <w:color w:val="000000" w:themeColor="text1"/>
        </w:rPr>
      </w:pPr>
    </w:p>
    <w:p w14:paraId="3ED981A0" w14:textId="77777777" w:rsidR="00DB7583" w:rsidRPr="009949D9" w:rsidRDefault="00DB7583" w:rsidP="009949D9">
      <w:pPr>
        <w:pStyle w:val="Heading2"/>
        <w:ind w:left="839"/>
        <w:rPr>
          <w:i w:val="0"/>
        </w:rPr>
      </w:pPr>
      <w:r w:rsidRPr="009949D9">
        <w:rPr>
          <w:i w:val="0"/>
        </w:rPr>
        <w:t>Describe your institution as follows:</w:t>
      </w:r>
    </w:p>
    <w:p w14:paraId="394EBDED" w14:textId="77777777" w:rsidR="00DB7583" w:rsidRPr="00714F04" w:rsidRDefault="00DB7583" w:rsidP="003E753A">
      <w:pPr>
        <w:pStyle w:val="Heading2"/>
      </w:pPr>
    </w:p>
    <w:p w14:paraId="1CD90F08" w14:textId="77777777" w:rsidR="00DB7583" w:rsidRPr="00714F04" w:rsidRDefault="00DB7583" w:rsidP="004A4E46">
      <w:pPr>
        <w:pStyle w:val="Heading2"/>
        <w:numPr>
          <w:ilvl w:val="0"/>
          <w:numId w:val="13"/>
        </w:numPr>
      </w:pPr>
      <w:r w:rsidRPr="00714F04">
        <w:t>Geographic setting (rural, urban,</w:t>
      </w:r>
      <w:r w:rsidRPr="00714F04">
        <w:rPr>
          <w:spacing w:val="-2"/>
        </w:rPr>
        <w:t xml:space="preserve"> </w:t>
      </w:r>
      <w:r w:rsidRPr="00714F04">
        <w:t>etc.)</w:t>
      </w:r>
    </w:p>
    <w:p w14:paraId="4E2268E4" w14:textId="77777777" w:rsidR="00DB7583" w:rsidRPr="00714F04" w:rsidRDefault="00DB7583" w:rsidP="003E753A">
      <w:pPr>
        <w:pStyle w:val="Heading2"/>
      </w:pPr>
    </w:p>
    <w:p w14:paraId="191EDB81" w14:textId="27176B3E" w:rsidR="00DB7583" w:rsidRPr="00714F04" w:rsidRDefault="00DB7583" w:rsidP="004A4E46">
      <w:pPr>
        <w:pStyle w:val="Heading2"/>
        <w:numPr>
          <w:ilvl w:val="0"/>
          <w:numId w:val="13"/>
        </w:numPr>
      </w:pPr>
      <w:r w:rsidRPr="00714F04">
        <w:t>Four-year institutions in proximity, if any.</w:t>
      </w:r>
    </w:p>
    <w:p w14:paraId="4FD7B430" w14:textId="6E985799" w:rsidR="00DB7583" w:rsidRPr="00714F04" w:rsidRDefault="00DB7583" w:rsidP="003E753A">
      <w:pPr>
        <w:pStyle w:val="Heading2"/>
      </w:pPr>
    </w:p>
    <w:p w14:paraId="2128647D" w14:textId="656574ED" w:rsidR="00DB7583" w:rsidRPr="00714F04" w:rsidRDefault="00DB7583" w:rsidP="004A4E46">
      <w:pPr>
        <w:pStyle w:val="Heading2"/>
        <w:numPr>
          <w:ilvl w:val="0"/>
          <w:numId w:val="13"/>
        </w:numPr>
      </w:pPr>
      <w:r w:rsidRPr="00714F04">
        <w:t>Other community colleges in proximity if they are in multi-campus</w:t>
      </w:r>
      <w:r w:rsidRPr="00714F04">
        <w:rPr>
          <w:spacing w:val="-11"/>
        </w:rPr>
        <w:t xml:space="preserve"> </w:t>
      </w:r>
      <w:r w:rsidRPr="00714F04">
        <w:t>district.</w:t>
      </w:r>
    </w:p>
    <w:p w14:paraId="25A3DB17" w14:textId="77777777" w:rsidR="00DB7583" w:rsidRPr="00714F04" w:rsidRDefault="00DB7583" w:rsidP="003E753A">
      <w:pPr>
        <w:pStyle w:val="Heading2"/>
      </w:pPr>
    </w:p>
    <w:p w14:paraId="2FE5FA04" w14:textId="0D674376" w:rsidR="00714F04" w:rsidRDefault="00DB7583" w:rsidP="009949D9">
      <w:pPr>
        <w:pStyle w:val="Heading2"/>
        <w:numPr>
          <w:ilvl w:val="0"/>
          <w:numId w:val="13"/>
        </w:numPr>
      </w:pPr>
      <w:r w:rsidRPr="00714F04">
        <w:t>Any other distinguishing characteristics of the</w:t>
      </w:r>
      <w:r w:rsidRPr="00714F04">
        <w:rPr>
          <w:spacing w:val="-5"/>
        </w:rPr>
        <w:t xml:space="preserve"> </w:t>
      </w:r>
      <w:r w:rsidRPr="00714F04">
        <w:t>institution.</w:t>
      </w:r>
    </w:p>
    <w:p w14:paraId="4D93BC7D" w14:textId="77777777" w:rsidR="00714F04" w:rsidRPr="00714F04" w:rsidRDefault="00714F04" w:rsidP="00714F04">
      <w:pPr>
        <w:tabs>
          <w:tab w:val="left" w:pos="939"/>
          <w:tab w:val="left" w:pos="940"/>
        </w:tabs>
        <w:spacing w:after="0" w:line="240" w:lineRule="auto"/>
        <w:rPr>
          <w:color w:val="000000" w:themeColor="text1"/>
        </w:rPr>
      </w:pPr>
    </w:p>
    <w:p w14:paraId="3EB7A4E1" w14:textId="5804EA7D" w:rsidR="009E2594" w:rsidRPr="009E2594" w:rsidRDefault="009E2594" w:rsidP="009949D9">
      <w:pPr>
        <w:rPr>
          <w:u w:val="single"/>
          <w:bdr w:val="none" w:sz="0" w:space="0" w:color="auto" w:frame="1"/>
        </w:rPr>
      </w:pPr>
      <w:r w:rsidRPr="009E2594">
        <w:rPr>
          <w:u w:val="single"/>
          <w:bdr w:val="none" w:sz="0" w:space="0" w:color="auto" w:frame="1"/>
        </w:rPr>
        <w:t xml:space="preserve">Please link hyperlinks </w:t>
      </w:r>
      <w:r>
        <w:rPr>
          <w:u w:val="single"/>
          <w:bdr w:val="none" w:sz="0" w:space="0" w:color="auto" w:frame="1"/>
        </w:rPr>
        <w:t xml:space="preserve">below </w:t>
      </w:r>
      <w:r w:rsidRPr="009E2594">
        <w:rPr>
          <w:u w:val="single"/>
          <w:bdr w:val="none" w:sz="0" w:space="0" w:color="auto" w:frame="1"/>
        </w:rPr>
        <w:t>for more information</w:t>
      </w:r>
    </w:p>
    <w:p w14:paraId="5814899F" w14:textId="61741E34" w:rsidR="00F5792E" w:rsidRPr="008F0EAD" w:rsidRDefault="00647596" w:rsidP="009949D9">
      <w:pPr>
        <w:rPr>
          <w:bdr w:val="none" w:sz="0" w:space="0" w:color="auto" w:frame="1"/>
        </w:rPr>
      </w:pPr>
      <w:r w:rsidRPr="00714F04">
        <w:rPr>
          <w:bdr w:val="none" w:sz="0" w:space="0" w:color="auto" w:frame="1"/>
        </w:rPr>
        <w:t>Located in the heart of Silicon Valley, California, De Anza College serves nearly 30,000 students a year in a dynamic and culturally diverse region. The college’s outstanding transfer and workforce preparation programs draw students from throughout California, the nation and the world. </w:t>
      </w:r>
    </w:p>
    <w:p w14:paraId="498A58E0" w14:textId="11869311" w:rsidR="00F5792E" w:rsidRPr="008F0EAD" w:rsidRDefault="00647596" w:rsidP="009949D9">
      <w:pPr>
        <w:rPr>
          <w:bdr w:val="none" w:sz="0" w:space="0" w:color="auto" w:frame="1"/>
        </w:rPr>
      </w:pPr>
      <w:r w:rsidRPr="00714F04">
        <w:rPr>
          <w:bdr w:val="none" w:sz="0" w:space="0" w:color="auto" w:frame="1"/>
        </w:rPr>
        <w:t xml:space="preserve">Additionally, the college's vibrant student life </w:t>
      </w:r>
      <w:r w:rsidR="00F5792E" w:rsidRPr="00714F04">
        <w:rPr>
          <w:bdr w:val="none" w:sz="0" w:space="0" w:color="auto" w:frame="1"/>
        </w:rPr>
        <w:t xml:space="preserve">– including intercollegiate athletics – </w:t>
      </w:r>
      <w:r w:rsidRPr="00714F04">
        <w:rPr>
          <w:bdr w:val="none" w:sz="0" w:space="0" w:color="auto" w:frame="1"/>
        </w:rPr>
        <w:t>and signature commitments to equity and civic engagement contribute to an environment that fosters high student retention and success rates.</w:t>
      </w:r>
      <w:r w:rsidR="00F5792E" w:rsidRPr="00714F04">
        <w:rPr>
          <w:bdr w:val="none" w:sz="0" w:space="0" w:color="auto" w:frame="1"/>
        </w:rPr>
        <w:t xml:space="preserve"> </w:t>
      </w:r>
      <w:r w:rsidRPr="00714F04">
        <w:t>With an outstanding reputation for academic excellence and innovative student services, De Anza College is an institution that has deep roots in Silicon Valley, and a broad reach that extends around the world.</w:t>
      </w:r>
    </w:p>
    <w:p w14:paraId="4C5EEE23" w14:textId="7DAA414B" w:rsidR="00F5792E" w:rsidRPr="00714F04" w:rsidRDefault="00647596" w:rsidP="009949D9">
      <w:r w:rsidRPr="00714F04">
        <w:t>The college is located on 112 acres in Cupertino, CA, south of San Francisco. The area has been shaped by global influences including the high-tech industry, venture capital and diverse communities of immigrants from around the globe. It is a paradoxical region of immense economic growth and opportunity on one hand and poverty and exclusion on the other. De Anza College stands as an important regional hub for educating students who come from marginalized communities and for helping address the social problems of exclusion, housing insecurity and income inequality that increasingly affect the lives of our students and surrounding communities.</w:t>
      </w:r>
    </w:p>
    <w:p w14:paraId="6C6ECDCF" w14:textId="667F0CB7" w:rsidR="00F5792E" w:rsidRPr="00714F04" w:rsidRDefault="00F5792E" w:rsidP="009949D9">
      <w:r w:rsidRPr="00714F04">
        <w:t xml:space="preserve">De Anza College is a </w:t>
      </w:r>
      <w:r w:rsidRPr="00714F04">
        <w:rPr>
          <w:bCs/>
          <w:bdr w:val="none" w:sz="0" w:space="0" w:color="auto" w:frame="1"/>
        </w:rPr>
        <w:t>top choice</w:t>
      </w:r>
      <w:r w:rsidRPr="00714F04">
        <w:t> among all colleges and universities for students graduating from the </w:t>
      </w:r>
      <w:r w:rsidRPr="00714F04">
        <w:rPr>
          <w:bCs/>
          <w:bdr w:val="none" w:sz="0" w:space="0" w:color="auto" w:frame="1"/>
        </w:rPr>
        <w:t>Fremont Union</w:t>
      </w:r>
      <w:r w:rsidRPr="00714F04">
        <w:t> High School District, </w:t>
      </w:r>
      <w:r w:rsidRPr="00714F04">
        <w:rPr>
          <w:bCs/>
          <w:bdr w:val="none" w:sz="0" w:space="0" w:color="auto" w:frame="1"/>
        </w:rPr>
        <w:t>San José</w:t>
      </w:r>
      <w:r w:rsidRPr="00714F04">
        <w:t> Unified School District and </w:t>
      </w:r>
      <w:r w:rsidRPr="00714F04">
        <w:rPr>
          <w:bCs/>
          <w:bdr w:val="none" w:sz="0" w:space="0" w:color="auto" w:frame="1"/>
        </w:rPr>
        <w:t>East Side</w:t>
      </w:r>
      <w:r w:rsidRPr="00714F04">
        <w:t xml:space="preserve"> Union High School District </w:t>
      </w:r>
    </w:p>
    <w:p w14:paraId="12061CAE" w14:textId="73B378D0" w:rsidR="00164C6B" w:rsidRPr="00714F04" w:rsidRDefault="00F5792E" w:rsidP="009949D9">
      <w:r w:rsidRPr="00714F04">
        <w:t>Four-year institutions in proximity include San Jose State University, Santa Clara University, and Stanford University; and nearby community colleges include Foothill College (Foothill-De Anza Community College District)</w:t>
      </w:r>
      <w:r w:rsidR="00F06875">
        <w:t xml:space="preserve">; </w:t>
      </w:r>
      <w:r w:rsidRPr="00714F04">
        <w:t>West Valley College</w:t>
      </w:r>
      <w:r w:rsidR="00F06875">
        <w:t xml:space="preserve"> and </w:t>
      </w:r>
      <w:r w:rsidRPr="00714F04">
        <w:t>Mission College</w:t>
      </w:r>
      <w:r w:rsidR="00F06875">
        <w:t xml:space="preserve"> (West Valley-Mission Community College District); and </w:t>
      </w:r>
      <w:r w:rsidRPr="00714F04">
        <w:t>San Jose City College</w:t>
      </w:r>
      <w:r w:rsidR="00F06875">
        <w:t xml:space="preserve"> and </w:t>
      </w:r>
      <w:r w:rsidRPr="00714F04">
        <w:t>Evergreen College</w:t>
      </w:r>
      <w:r w:rsidR="00F06875">
        <w:t xml:space="preserve"> (San Jose-Evergreen Community College District)</w:t>
      </w:r>
      <w:r w:rsidRPr="00714F04">
        <w:t>.</w:t>
      </w:r>
      <w:r w:rsidR="00714F04">
        <w:t xml:space="preserve"> </w:t>
      </w:r>
      <w:r w:rsidRPr="00714F04">
        <w:t xml:space="preserve">The </w:t>
      </w:r>
      <w:r w:rsidR="00164C6B" w:rsidRPr="00714F04">
        <w:t xml:space="preserve">Top 5 UC </w:t>
      </w:r>
      <w:r w:rsidRPr="00714F04">
        <w:t>t</w:t>
      </w:r>
      <w:r w:rsidR="00164C6B" w:rsidRPr="00714F04">
        <w:t xml:space="preserve">ransfer </w:t>
      </w:r>
      <w:r w:rsidRPr="00714F04">
        <w:t>l</w:t>
      </w:r>
      <w:r w:rsidR="00164C6B" w:rsidRPr="00714F04">
        <w:t>ocations</w:t>
      </w:r>
      <w:r w:rsidRPr="00714F04">
        <w:t xml:space="preserve"> for De Anza College students are: </w:t>
      </w:r>
      <w:r w:rsidR="00164C6B" w:rsidRPr="00714F04">
        <w:t>Davi</w:t>
      </w:r>
      <w:r w:rsidRPr="00714F04">
        <w:t xml:space="preserve">s, </w:t>
      </w:r>
      <w:r w:rsidR="00164C6B" w:rsidRPr="00714F04">
        <w:t>Berkele</w:t>
      </w:r>
      <w:r w:rsidRPr="00714F04">
        <w:t xml:space="preserve">y, </w:t>
      </w:r>
      <w:r w:rsidR="00164C6B" w:rsidRPr="00714F04">
        <w:t>San Diego</w:t>
      </w:r>
      <w:r w:rsidRPr="00714F04">
        <w:t xml:space="preserve">, </w:t>
      </w:r>
      <w:r w:rsidR="00164C6B" w:rsidRPr="00714F04">
        <w:t>Irvine</w:t>
      </w:r>
      <w:r w:rsidRPr="00714F04">
        <w:t xml:space="preserve"> and UCLA; while the Top 5 CSU transfer destinations are </w:t>
      </w:r>
      <w:r w:rsidR="00164C6B" w:rsidRPr="00714F04">
        <w:t>San José</w:t>
      </w:r>
      <w:r w:rsidRPr="00714F04">
        <w:t xml:space="preserve">, </w:t>
      </w:r>
      <w:r w:rsidR="00164C6B" w:rsidRPr="00714F04">
        <w:t>San Francisco</w:t>
      </w:r>
      <w:r w:rsidRPr="00714F04">
        <w:t xml:space="preserve">, </w:t>
      </w:r>
      <w:r w:rsidR="00164C6B" w:rsidRPr="00714F04">
        <w:t>East Bay</w:t>
      </w:r>
      <w:r w:rsidRPr="00714F04">
        <w:t xml:space="preserve">, </w:t>
      </w:r>
      <w:r w:rsidR="00164C6B" w:rsidRPr="00714F04">
        <w:t>Sacramento</w:t>
      </w:r>
      <w:r w:rsidRPr="00714F04">
        <w:t xml:space="preserve">, and </w:t>
      </w:r>
      <w:r w:rsidR="00164C6B" w:rsidRPr="00714F04">
        <w:t>Long Beach</w:t>
      </w:r>
      <w:r w:rsidRPr="00714F04">
        <w:t>.</w:t>
      </w:r>
    </w:p>
    <w:p w14:paraId="2D75CD0E" w14:textId="77777777" w:rsidR="008F0EAD" w:rsidRDefault="008F0EAD" w:rsidP="009949D9">
      <w:pPr>
        <w:rPr>
          <w:b/>
        </w:rPr>
      </w:pPr>
    </w:p>
    <w:p w14:paraId="508CAEA5" w14:textId="1B486C27" w:rsidR="00D3312C" w:rsidRPr="00714F04" w:rsidRDefault="00D3312C" w:rsidP="009949D9">
      <w:pPr>
        <w:rPr>
          <w:b/>
        </w:rPr>
      </w:pPr>
      <w:r w:rsidRPr="00714F04">
        <w:rPr>
          <w:b/>
        </w:rPr>
        <w:lastRenderedPageBreak/>
        <w:t>OTHER UNIQUE CHARACTERISTICS</w:t>
      </w:r>
    </w:p>
    <w:p w14:paraId="7EB8B7DA" w14:textId="106C0514" w:rsidR="00D3312C" w:rsidRPr="00714F04" w:rsidRDefault="00D3312C" w:rsidP="009949D9">
      <w:r w:rsidRPr="00714F04">
        <w:t>De Anza consistently ranks at or near the top in community college transfers to four-year institutions,</w:t>
      </w:r>
      <w:r w:rsidR="008F0EAD">
        <w:t xml:space="preserve"> </w:t>
      </w:r>
      <w:r w:rsidRPr="00714F04">
        <w:t>according to the California Community Colleges Chancellor’s Office. Transfers to the University of California</w:t>
      </w:r>
      <w:r w:rsidR="008F0EAD">
        <w:t xml:space="preserve"> </w:t>
      </w:r>
      <w:r w:rsidRPr="00714F04">
        <w:t>increased 24% from 2013-14 to 2017-18 and transfers to California State University campuses increased</w:t>
      </w:r>
      <w:r w:rsidR="008F0EAD">
        <w:t xml:space="preserve"> </w:t>
      </w:r>
      <w:r w:rsidRPr="00714F04">
        <w:t>16% in the same period, even though student headcount decreased at De Anza as it has at other</w:t>
      </w:r>
      <w:r w:rsidR="008F0EAD">
        <w:t xml:space="preserve"> </w:t>
      </w:r>
      <w:r w:rsidRPr="00714F04">
        <w:t>community colleges.</w:t>
      </w:r>
    </w:p>
    <w:p w14:paraId="34625BCB" w14:textId="291FEE33" w:rsidR="00D3312C" w:rsidRPr="00714F04" w:rsidRDefault="00D3312C" w:rsidP="009949D9">
      <w:r w:rsidRPr="00714F04">
        <w:t>A case study by the California Community Colleges Research and Planning Group (RP Group) concluded</w:t>
      </w:r>
      <w:r w:rsidR="008F0EAD">
        <w:t xml:space="preserve"> t</w:t>
      </w:r>
      <w:r w:rsidRPr="00714F04">
        <w:t>hat De Anza’s high transfer rate is attributable to its strategic approach to institutional development; its</w:t>
      </w:r>
      <w:r w:rsidR="008F0EAD">
        <w:t xml:space="preserve"> </w:t>
      </w:r>
      <w:r w:rsidRPr="00714F04">
        <w:t>encouragement and support of academic excellence and achievement; its tradition of innovation; and its</w:t>
      </w:r>
      <w:r w:rsidR="008F0EAD">
        <w:t xml:space="preserve"> </w:t>
      </w:r>
      <w:r w:rsidRPr="00714F04">
        <w:t>experimentation with ways to integrate student services with instruction.</w:t>
      </w:r>
    </w:p>
    <w:p w14:paraId="317EC43D" w14:textId="366DA5C8" w:rsidR="00C33BE2" w:rsidRPr="00714F04" w:rsidRDefault="00D3312C" w:rsidP="009949D9">
      <w:r w:rsidRPr="00714F04">
        <w:t>De Anza’s student body is highly diverse: Students identifying as Asian American, Filipinx or Pacific</w:t>
      </w:r>
      <w:r w:rsidR="002566FF">
        <w:t xml:space="preserve"> </w:t>
      </w:r>
      <w:r w:rsidRPr="00714F04">
        <w:t>Islander represent 48% of the fall 2018 enrollment. Latinx students were 27% of total enrollment and</w:t>
      </w:r>
      <w:r w:rsidR="002566FF">
        <w:t xml:space="preserve"> </w:t>
      </w:r>
      <w:r w:rsidRPr="00714F04">
        <w:t>African American students were 4%. The enrollment rate for these groups is higher than those groups</w:t>
      </w:r>
      <w:r w:rsidR="002566FF">
        <w:t xml:space="preserve"> </w:t>
      </w:r>
      <w:r w:rsidRPr="00714F04">
        <w:t>are represented in the county population.</w:t>
      </w:r>
    </w:p>
    <w:p w14:paraId="5166B2AB" w14:textId="77777777" w:rsidR="007740E6" w:rsidRDefault="007740E6" w:rsidP="009949D9">
      <w:pPr>
        <w:rPr>
          <w:b/>
        </w:rPr>
      </w:pPr>
    </w:p>
    <w:p w14:paraId="571BAD85" w14:textId="3C2ACF7D" w:rsidR="00D3312C" w:rsidRPr="00714F04" w:rsidRDefault="00D3312C" w:rsidP="009949D9">
      <w:pPr>
        <w:rPr>
          <w:b/>
        </w:rPr>
      </w:pPr>
      <w:r w:rsidRPr="00714F04">
        <w:rPr>
          <w:b/>
        </w:rPr>
        <w:t>STUDENT SUCCESS</w:t>
      </w:r>
    </w:p>
    <w:p w14:paraId="60915AFC" w14:textId="50518FE5" w:rsidR="00D3312C" w:rsidRPr="00714F04" w:rsidRDefault="00D3312C" w:rsidP="009949D9">
      <w:r w:rsidRPr="00714F04">
        <w:t>De Anza awarded 2,700 degrees and 300 certificates this past year.</w:t>
      </w:r>
      <w:r w:rsidR="002566FF">
        <w:t xml:space="preserve"> </w:t>
      </w:r>
      <w:r w:rsidRPr="00714F04">
        <w:t>More than 900 students transferred to a UC and more than 1,600 transferred to a CSU in 2017-18.</w:t>
      </w:r>
      <w:r w:rsidR="002566FF">
        <w:t xml:space="preserve"> </w:t>
      </w:r>
      <w:r w:rsidRPr="00714F04">
        <w:t>More than 300 transferred to independent or out-of-state universities in 2016-17, the most recent year for which information is available.</w:t>
      </w:r>
    </w:p>
    <w:p w14:paraId="0783BD39" w14:textId="49D752E3" w:rsidR="00D3312C" w:rsidRPr="00714F04" w:rsidRDefault="00D3312C" w:rsidP="009949D9">
      <w:r w:rsidRPr="00714F04">
        <w:t>De Anza has numerous specialized programs that support students, including</w:t>
      </w:r>
      <w:r w:rsidR="002566FF">
        <w:t xml:space="preserve"> </w:t>
      </w:r>
      <w:r w:rsidRPr="00714F04">
        <w:t xml:space="preserve">The Student Success Center offers extensive peer tutoring in math, science, </w:t>
      </w:r>
      <w:r w:rsidR="00C9670D">
        <w:t>e</w:t>
      </w:r>
      <w:r w:rsidRPr="00714F04">
        <w:t>nglish and other</w:t>
      </w:r>
      <w:r w:rsidR="002566FF">
        <w:t xml:space="preserve"> </w:t>
      </w:r>
      <w:r w:rsidRPr="00714F04">
        <w:t>subjects.</w:t>
      </w:r>
    </w:p>
    <w:p w14:paraId="13EBB5C9" w14:textId="5D7A1926" w:rsidR="00D3312C" w:rsidRPr="00714F04" w:rsidRDefault="00D3312C" w:rsidP="009949D9">
      <w:r w:rsidRPr="00714F04">
        <w:t>The Office of Outreach provides early contact at the high school level and continued support at</w:t>
      </w:r>
      <w:r w:rsidR="002566FF">
        <w:t xml:space="preserve"> </w:t>
      </w:r>
      <w:r w:rsidRPr="00714F04">
        <w:t>De Anza for De Anza College Promise students and students from historically underrepresented</w:t>
      </w:r>
      <w:r w:rsidR="002566FF">
        <w:t xml:space="preserve"> </w:t>
      </w:r>
      <w:r w:rsidRPr="00714F04">
        <w:t>communities in the region.</w:t>
      </w:r>
    </w:p>
    <w:p w14:paraId="6979DAFC" w14:textId="3023B8EC" w:rsidR="00D3312C" w:rsidRPr="00714F04" w:rsidRDefault="00D3312C" w:rsidP="009949D9">
      <w:r w:rsidRPr="00714F04">
        <w:t>Learning Communities provide a supportive network of classmates, instructors and advisers for</w:t>
      </w:r>
      <w:r w:rsidR="00714F04">
        <w:t xml:space="preserve"> </w:t>
      </w:r>
      <w:r w:rsidRPr="00714F04">
        <w:t>students who share a common experience or interest – including first-generation college students, young men of color and many others.</w:t>
      </w:r>
    </w:p>
    <w:p w14:paraId="39E7E69D" w14:textId="77777777" w:rsidR="007740E6" w:rsidRDefault="007740E6" w:rsidP="009949D9">
      <w:pPr>
        <w:rPr>
          <w:b/>
        </w:rPr>
      </w:pPr>
    </w:p>
    <w:p w14:paraId="6DE432E4" w14:textId="6BE1362A" w:rsidR="00D3312C" w:rsidRPr="00714F04" w:rsidRDefault="00D3312C" w:rsidP="009949D9">
      <w:pPr>
        <w:rPr>
          <w:b/>
        </w:rPr>
      </w:pPr>
      <w:r w:rsidRPr="00714F04">
        <w:rPr>
          <w:b/>
        </w:rPr>
        <w:t>STATEWIDE DEVELOPMENTS AFFECTING THE COLLEGE</w:t>
      </w:r>
    </w:p>
    <w:p w14:paraId="66814CA3" w14:textId="2C9EC18E" w:rsidR="00D3312C" w:rsidRPr="00714F04" w:rsidRDefault="009E2594" w:rsidP="009949D9">
      <w:pPr>
        <w:rPr>
          <w:b/>
        </w:rPr>
      </w:pPr>
      <w:hyperlink r:id="rId5" w:history="1">
        <w:r w:rsidR="00D3312C" w:rsidRPr="009E2594">
          <w:rPr>
            <w:rStyle w:val="Hyperlink"/>
            <w:b/>
          </w:rPr>
          <w:t>Student-Centered Funding Formula</w:t>
        </w:r>
      </w:hyperlink>
    </w:p>
    <w:p w14:paraId="2753C446" w14:textId="09D2DA47" w:rsidR="00D3312C" w:rsidRPr="00714F04" w:rsidRDefault="00D3312C" w:rsidP="009949D9">
      <w:r w:rsidRPr="00714F04">
        <w:t>De Anza College ranks above the statewide average on several metrics of the Student-Centered Funding</w:t>
      </w:r>
      <w:r w:rsidR="002566FF">
        <w:t xml:space="preserve"> </w:t>
      </w:r>
      <w:r w:rsidRPr="00714F04">
        <w:t>Formula, including:</w:t>
      </w:r>
    </w:p>
    <w:p w14:paraId="230FF32F" w14:textId="713A2AE4" w:rsidR="00D3312C" w:rsidRPr="00714F04" w:rsidRDefault="00D3312C" w:rsidP="009949D9">
      <w:r w:rsidRPr="00714F04">
        <w:t>Students receiving Pell Grants – 27% of student body, compared with 19% statewide</w:t>
      </w:r>
    </w:p>
    <w:p w14:paraId="6ADD1F42" w14:textId="790C8AEA" w:rsidR="00D3312C" w:rsidRPr="00714F04" w:rsidRDefault="00D3312C" w:rsidP="009949D9">
      <w:r w:rsidRPr="00714F04">
        <w:lastRenderedPageBreak/>
        <w:t>Students receiving Promise grants (California College Promise) – 46% of student body, compared with 43% statewide</w:t>
      </w:r>
    </w:p>
    <w:p w14:paraId="77DE755C" w14:textId="77777777" w:rsidR="00D3312C" w:rsidRPr="00714F04" w:rsidRDefault="00D3312C" w:rsidP="009949D9">
      <w:bookmarkStart w:id="0" w:name="_GoBack"/>
      <w:bookmarkEnd w:id="0"/>
    </w:p>
    <w:p w14:paraId="400507A2" w14:textId="057BC26D" w:rsidR="00D3312C" w:rsidRPr="00714F04" w:rsidRDefault="00D3312C" w:rsidP="009949D9">
      <w:r w:rsidRPr="00714F04">
        <w:t>Overall completion rate – 61.2% at De Anza, compared with 48.2% statewide</w:t>
      </w:r>
    </w:p>
    <w:p w14:paraId="5D2E1078" w14:textId="77777777" w:rsidR="00D3312C" w:rsidRPr="00714F04" w:rsidRDefault="00D3312C" w:rsidP="009949D9">
      <w:r w:rsidRPr="00714F04">
        <w:t>Remedial English completion rate – 69% at De Anza, compared with 48.7% statewide</w:t>
      </w:r>
    </w:p>
    <w:p w14:paraId="17715BD1" w14:textId="77777777" w:rsidR="00D3312C" w:rsidRPr="00714F04" w:rsidRDefault="00D3312C" w:rsidP="009949D9">
      <w:r w:rsidRPr="00714F04">
        <w:t>CTE completion rates – 57.1% at De Anza, compared with 55.1% statewide</w:t>
      </w:r>
    </w:p>
    <w:p w14:paraId="1233BC87" w14:textId="74E7447F" w:rsidR="00D3312C" w:rsidRPr="00714F04" w:rsidRDefault="00D3312C" w:rsidP="009949D9">
      <w:r w:rsidRPr="00714F04">
        <w:t>Transfer-level math completion rate – 36% in one year at De Anza and 52% in two years, compared with 30.4% statewide</w:t>
      </w:r>
    </w:p>
    <w:p w14:paraId="63D882A5" w14:textId="53C08504" w:rsidR="00D3312C" w:rsidRDefault="00D3312C" w:rsidP="009949D9">
      <w:r w:rsidRPr="00714F04">
        <w:t xml:space="preserve">Remedial math completion rate – 53.4% at De Anza, compared with 36.5% statewide </w:t>
      </w:r>
    </w:p>
    <w:p w14:paraId="22E0208D" w14:textId="77777777" w:rsidR="007740E6" w:rsidRDefault="007740E6" w:rsidP="009949D9">
      <w:pPr>
        <w:rPr>
          <w:b/>
        </w:rPr>
      </w:pPr>
    </w:p>
    <w:p w14:paraId="46BBC086" w14:textId="0717A454" w:rsidR="00D3312C" w:rsidRPr="00714F04" w:rsidRDefault="009E2594" w:rsidP="009949D9">
      <w:pPr>
        <w:rPr>
          <w:b/>
        </w:rPr>
      </w:pPr>
      <w:hyperlink r:id="rId6" w:history="1">
        <w:r w:rsidR="00D3312C" w:rsidRPr="009E2594">
          <w:rPr>
            <w:rStyle w:val="Hyperlink"/>
            <w:b/>
          </w:rPr>
          <w:t>AB 705</w:t>
        </w:r>
      </w:hyperlink>
    </w:p>
    <w:p w14:paraId="1BF9A7C0" w14:textId="11825396" w:rsidR="00D3312C" w:rsidRPr="00714F04" w:rsidRDefault="00D3312C" w:rsidP="009949D9">
      <w:r w:rsidRPr="00714F04">
        <w:t>De Anza is highlighted as one of the top five colleges in the state in increasing access to transfer level math and one of the top three colleges to increase the percentage of students who completed a transfer-level math course in fall 2018, according to a Public Policy Institute of California (PPIC) report on AB 705 enrollment and success.</w:t>
      </w:r>
    </w:p>
    <w:p w14:paraId="36C4BA37" w14:textId="77777777" w:rsidR="007740E6" w:rsidRDefault="007740E6" w:rsidP="009949D9">
      <w:pPr>
        <w:rPr>
          <w:b/>
        </w:rPr>
      </w:pPr>
    </w:p>
    <w:p w14:paraId="78874011" w14:textId="0B4D7D18" w:rsidR="00D3312C" w:rsidRPr="00714F04" w:rsidRDefault="00D3312C" w:rsidP="009949D9">
      <w:pPr>
        <w:rPr>
          <w:b/>
        </w:rPr>
      </w:pPr>
      <w:r w:rsidRPr="00714F04">
        <w:rPr>
          <w:b/>
        </w:rPr>
        <w:t>KEY INITIATIVES AND PROGRAMS</w:t>
      </w:r>
    </w:p>
    <w:p w14:paraId="77B1BE70" w14:textId="0CFC7B2D" w:rsidR="00D3312C" w:rsidRPr="00714F04" w:rsidRDefault="009E2594" w:rsidP="009949D9">
      <w:pPr>
        <w:rPr>
          <w:b/>
        </w:rPr>
      </w:pPr>
      <w:hyperlink r:id="rId7" w:history="1">
        <w:r w:rsidR="00D3312C" w:rsidRPr="009E2594">
          <w:rPr>
            <w:rStyle w:val="Hyperlink"/>
            <w:b/>
          </w:rPr>
          <w:t>De Anza College Promise</w:t>
        </w:r>
      </w:hyperlink>
    </w:p>
    <w:p w14:paraId="01AC7AED" w14:textId="66856A32" w:rsidR="00D3312C" w:rsidRPr="00714F04" w:rsidRDefault="00D3312C" w:rsidP="009949D9">
      <w:r w:rsidRPr="00714F04">
        <w:t>De Anza College’s College Promise Program offers two years of free tuition and fees plus $1,000</w:t>
      </w:r>
      <w:r w:rsidR="00714F04">
        <w:t xml:space="preserve"> </w:t>
      </w:r>
      <w:r w:rsidRPr="00714F04">
        <w:t>toward books and materials ($500 each year) for all eligible students.</w:t>
      </w:r>
    </w:p>
    <w:p w14:paraId="27E25BAC" w14:textId="724971CB" w:rsidR="00D3312C" w:rsidRPr="00714F04" w:rsidRDefault="00D3312C" w:rsidP="009949D9">
      <w:r w:rsidRPr="00714F04">
        <w:t>The program is open to California residents – or those eligible for exemption from nonresident tuition – who are first-time college students, attending full-time starting in fall 2019, and list De Anza on their FAFSA or California Dream Act Application form.</w:t>
      </w:r>
    </w:p>
    <w:p w14:paraId="31E39B78" w14:textId="2747DC1B" w:rsidR="00D3312C" w:rsidRPr="00714F04" w:rsidRDefault="00D3312C" w:rsidP="009949D9">
      <w:r w:rsidRPr="00714F04">
        <w:t>Students also get free transportation with the VTA SmartPass.</w:t>
      </w:r>
    </w:p>
    <w:p w14:paraId="16C871CF" w14:textId="77777777" w:rsidR="007740E6" w:rsidRDefault="007740E6" w:rsidP="009949D9">
      <w:pPr>
        <w:rPr>
          <w:b/>
        </w:rPr>
      </w:pPr>
    </w:p>
    <w:p w14:paraId="03D01719" w14:textId="07E49888" w:rsidR="00D3312C" w:rsidRPr="00714F04" w:rsidRDefault="009E2594" w:rsidP="009949D9">
      <w:pPr>
        <w:rPr>
          <w:b/>
        </w:rPr>
      </w:pPr>
      <w:hyperlink r:id="rId8" w:history="1">
        <w:r w:rsidR="00D3312C" w:rsidRPr="009E2594">
          <w:rPr>
            <w:rStyle w:val="Hyperlink"/>
            <w:b/>
          </w:rPr>
          <w:t>Food, Housing and Transportation Resources</w:t>
        </w:r>
      </w:hyperlink>
    </w:p>
    <w:p w14:paraId="2C027A7D" w14:textId="4DFA6CA3" w:rsidR="00D3312C" w:rsidRPr="00714F04" w:rsidRDefault="00D3312C" w:rsidP="009949D9">
      <w:r w:rsidRPr="00714F04">
        <w:t>De Anza College has increased its efforts to assist students who are struggling to meet basic needs for</w:t>
      </w:r>
      <w:r w:rsidR="002566FF">
        <w:t xml:space="preserve"> </w:t>
      </w:r>
      <w:r w:rsidRPr="00714F04">
        <w:t>food and shelter.</w:t>
      </w:r>
    </w:p>
    <w:p w14:paraId="5B26AE7E" w14:textId="3E5D499F" w:rsidR="00D3312C" w:rsidRPr="00714F04" w:rsidRDefault="00D3312C" w:rsidP="009949D9">
      <w:r w:rsidRPr="00714F04">
        <w:t>The Office of Outreach operates a Food Pantry program that provides nonperishable food items,</w:t>
      </w:r>
      <w:r w:rsidR="002566FF">
        <w:t xml:space="preserve"> </w:t>
      </w:r>
      <w:r w:rsidRPr="00714F04">
        <w:t>toiletries and feminine hygiene products, as well as emergency vouchers and prepared foods. The office</w:t>
      </w:r>
      <w:r w:rsidR="002566FF">
        <w:t xml:space="preserve"> </w:t>
      </w:r>
      <w:r w:rsidRPr="00714F04">
        <w:t>also coordinates assistance with applications for CalFresh benefits.</w:t>
      </w:r>
    </w:p>
    <w:p w14:paraId="5336917E" w14:textId="7361ACF4" w:rsidR="00D3312C" w:rsidRPr="00714F04" w:rsidRDefault="00D3312C" w:rsidP="009949D9">
      <w:r w:rsidRPr="00714F04">
        <w:lastRenderedPageBreak/>
        <w:t>While De Anza doesn’t operate student housing, the college can refer students to community</w:t>
      </w:r>
      <w:r w:rsidR="002566FF">
        <w:t xml:space="preserve"> </w:t>
      </w:r>
      <w:r w:rsidRPr="00714F04">
        <w:t>organizations that provide services such as helping homeless individuals find long-term housing and</w:t>
      </w:r>
      <w:r w:rsidR="002566FF">
        <w:t xml:space="preserve"> </w:t>
      </w:r>
      <w:r w:rsidRPr="00714F04">
        <w:t>coordinating safe overnight parking sites for individuals living in their cars.</w:t>
      </w:r>
    </w:p>
    <w:p w14:paraId="787D6A46" w14:textId="0534FD1D" w:rsidR="00D3312C" w:rsidRPr="00714F04" w:rsidRDefault="00D3312C" w:rsidP="009949D9">
      <w:r w:rsidRPr="00714F04">
        <w:t>All De Anza students are eligible for the SmartPass, which allows them to ride free on the Santa Clara Valley Transit system after paying one small fee for the quarter.</w:t>
      </w:r>
    </w:p>
    <w:p w14:paraId="272BB83E" w14:textId="77777777" w:rsidR="007740E6" w:rsidRDefault="007740E6" w:rsidP="009949D9"/>
    <w:p w14:paraId="7E62FD3B" w14:textId="4B5108D4" w:rsidR="00D3312C" w:rsidRPr="00714F04" w:rsidRDefault="009E2594" w:rsidP="009949D9">
      <w:pPr>
        <w:rPr>
          <w:b/>
        </w:rPr>
      </w:pPr>
      <w:hyperlink r:id="rId9" w:history="1">
        <w:r w:rsidR="00D3312C" w:rsidRPr="009E2594">
          <w:rPr>
            <w:rStyle w:val="Hyperlink"/>
            <w:b/>
          </w:rPr>
          <w:t>Free and Low-Cost Textbooks</w:t>
        </w:r>
      </w:hyperlink>
    </w:p>
    <w:p w14:paraId="435D8083" w14:textId="77E1187B" w:rsidR="00D3312C" w:rsidRPr="00714F04" w:rsidRDefault="00D3312C" w:rsidP="009949D9">
      <w:r w:rsidRPr="00714F04">
        <w:t>De Anza College is a partner with the OpenStax project at Rice University, which works to promote the</w:t>
      </w:r>
      <w:r w:rsidR="00F3132A">
        <w:t xml:space="preserve"> </w:t>
      </w:r>
      <w:r w:rsidRPr="00714F04">
        <w:t>use of free, peer-reviewed textbooks for college courses.</w:t>
      </w:r>
    </w:p>
    <w:p w14:paraId="36B8FE3E" w14:textId="117513EF" w:rsidR="00D3312C" w:rsidRPr="00714F04" w:rsidRDefault="00D3312C" w:rsidP="009949D9">
      <w:r w:rsidRPr="00714F04">
        <w:t>Students can easily find courses that use free or low-cost books and materials by looking for classes marked with a green icon in college course listings.</w:t>
      </w:r>
    </w:p>
    <w:p w14:paraId="46CD9445" w14:textId="538A6501" w:rsidR="00D3312C" w:rsidRPr="00714F04" w:rsidRDefault="00D3312C" w:rsidP="009949D9">
      <w:r w:rsidRPr="00714F04">
        <w:t>De Anza was ranked seventh on OpenStax’s national “Top 10” list of schools that have served the most students with the adoption of its free college textbooks.</w:t>
      </w:r>
    </w:p>
    <w:p w14:paraId="09A9A47B" w14:textId="77777777" w:rsidR="007740E6" w:rsidRDefault="007740E6" w:rsidP="009949D9">
      <w:pPr>
        <w:rPr>
          <w:b/>
        </w:rPr>
      </w:pPr>
    </w:p>
    <w:p w14:paraId="57BDF31B" w14:textId="166FEAA7" w:rsidR="00D3312C" w:rsidRPr="00714F04" w:rsidRDefault="009E2594" w:rsidP="009949D9">
      <w:pPr>
        <w:rPr>
          <w:b/>
        </w:rPr>
      </w:pPr>
      <w:hyperlink r:id="rId10" w:history="1">
        <w:r w:rsidR="00D3312C" w:rsidRPr="009E2594">
          <w:rPr>
            <w:rStyle w:val="Hyperlink"/>
            <w:b/>
          </w:rPr>
          <w:t>Math Performance Success</w:t>
        </w:r>
      </w:hyperlink>
    </w:p>
    <w:p w14:paraId="6048BF43" w14:textId="5CC75A14" w:rsidR="00D3312C" w:rsidRPr="00714F04" w:rsidRDefault="00D3312C" w:rsidP="009949D9">
      <w:r w:rsidRPr="00714F04">
        <w:t>De Anza has earned national recognition for its innovative Math Performance Success (MPS) program.</w:t>
      </w:r>
      <w:r w:rsidR="00F3132A">
        <w:t xml:space="preserve"> </w:t>
      </w:r>
      <w:r w:rsidRPr="00714F04">
        <w:t>MPS serves 350-500 students each quarter with embedded counselors, peer tutors, extended</w:t>
      </w:r>
      <w:r w:rsidR="00F3132A">
        <w:t xml:space="preserve"> </w:t>
      </w:r>
      <w:r w:rsidRPr="00714F04">
        <w:t>instruction time, and activities outside the classroom such as workshops and field trips.</w:t>
      </w:r>
    </w:p>
    <w:p w14:paraId="3DA0A648" w14:textId="66D7A434" w:rsidR="00D3312C" w:rsidRPr="00714F04" w:rsidRDefault="00D3312C" w:rsidP="009949D9">
      <w:r w:rsidRPr="00714F04">
        <w:t>MPS results include higher course success rates (15-18 percentage points higher than students who aren’t in MPS) and significant narrowing of the “equity gap” or difference in success rates for African American, Latinx and Filipinx/Pacific Islander students, as compared to students in other demographic groups.</w:t>
      </w:r>
    </w:p>
    <w:p w14:paraId="5717FF2E" w14:textId="79C35127" w:rsidR="00D3312C" w:rsidRPr="00714F04" w:rsidRDefault="00D3312C" w:rsidP="009949D9">
      <w:r w:rsidRPr="00714F04">
        <w:t>This program has supported the success of AB 705 placement policies at De Anza.</w:t>
      </w:r>
    </w:p>
    <w:p w14:paraId="45550D53" w14:textId="77777777" w:rsidR="007740E6" w:rsidRDefault="007740E6" w:rsidP="009949D9">
      <w:pPr>
        <w:rPr>
          <w:b/>
        </w:rPr>
      </w:pPr>
    </w:p>
    <w:p w14:paraId="4EA57E8C" w14:textId="2B518B55" w:rsidR="00D3312C" w:rsidRPr="00714F04" w:rsidRDefault="009E2594" w:rsidP="009949D9">
      <w:pPr>
        <w:rPr>
          <w:b/>
        </w:rPr>
      </w:pPr>
      <w:hyperlink r:id="rId11" w:history="1">
        <w:r w:rsidR="00D3312C" w:rsidRPr="009E2594">
          <w:rPr>
            <w:rStyle w:val="Hyperlink"/>
            <w:b/>
          </w:rPr>
          <w:t>Online Education</w:t>
        </w:r>
      </w:hyperlink>
    </w:p>
    <w:p w14:paraId="133289D4" w14:textId="1032615E" w:rsidR="00D3312C" w:rsidRPr="00714F04" w:rsidRDefault="009E2594" w:rsidP="009949D9">
      <w:r>
        <w:t>Pre-COVID, o</w:t>
      </w:r>
      <w:r w:rsidR="00D3312C" w:rsidRPr="00714F04">
        <w:t>nline enrollment at De Anza nearly doubled over the p</w:t>
      </w:r>
      <w:r>
        <w:t>revious</w:t>
      </w:r>
      <w:r w:rsidR="00D3312C" w:rsidRPr="00714F04">
        <w:t xml:space="preserve"> four years, from 12% of total enrollment</w:t>
      </w:r>
      <w:r w:rsidR="00F3132A">
        <w:t xml:space="preserve"> </w:t>
      </w:r>
      <w:r w:rsidR="00D3312C" w:rsidRPr="00714F04">
        <w:t>to 22%.</w:t>
      </w:r>
      <w:r w:rsidR="00F3132A">
        <w:t xml:space="preserve"> </w:t>
      </w:r>
      <w:r w:rsidR="00D3312C" w:rsidRPr="00714F04">
        <w:t>In the same period, success rates in online courses increased 2% from 72% to 74%.</w:t>
      </w:r>
    </w:p>
    <w:p w14:paraId="21705DC2" w14:textId="77777777" w:rsidR="007740E6" w:rsidRDefault="007740E6" w:rsidP="009949D9">
      <w:pPr>
        <w:rPr>
          <w:b/>
        </w:rPr>
      </w:pPr>
    </w:p>
    <w:p w14:paraId="14DE41B1" w14:textId="04493DA1" w:rsidR="00D3312C" w:rsidRPr="00714F04" w:rsidRDefault="009E2594" w:rsidP="009949D9">
      <w:pPr>
        <w:rPr>
          <w:b/>
        </w:rPr>
      </w:pPr>
      <w:hyperlink r:id="rId12" w:history="1">
        <w:r w:rsidR="00D3312C" w:rsidRPr="009E2594">
          <w:rPr>
            <w:rStyle w:val="Hyperlink"/>
            <w:b/>
          </w:rPr>
          <w:t>Sustainable Campus</w:t>
        </w:r>
      </w:hyperlink>
    </w:p>
    <w:p w14:paraId="2E1A6A6B" w14:textId="326745A2" w:rsidR="00D3312C" w:rsidRPr="00714F04" w:rsidRDefault="00D3312C" w:rsidP="009949D9">
      <w:r w:rsidRPr="00714F04">
        <w:t>De Anza was the first community college to be certified as a Bay Area Green Business, and is committed</w:t>
      </w:r>
      <w:r w:rsidR="00F3132A">
        <w:t xml:space="preserve"> </w:t>
      </w:r>
      <w:r w:rsidRPr="00714F04">
        <w:t>to using sustainable building methods and materials. Nine buildings have been certified as meeting</w:t>
      </w:r>
      <w:r w:rsidR="00F3132A">
        <w:t xml:space="preserve"> </w:t>
      </w:r>
      <w:r w:rsidRPr="00714F04">
        <w:t>national LEED standards.</w:t>
      </w:r>
    </w:p>
    <w:p w14:paraId="4671513B" w14:textId="3EE71AB0" w:rsidR="00D3312C" w:rsidRPr="00714F04" w:rsidRDefault="00D3312C" w:rsidP="009949D9">
      <w:r w:rsidRPr="00714F04">
        <w:lastRenderedPageBreak/>
        <w:t>LEED Platinum: Kirsch Center for Environmental Studies, Media &amp; Learning Center</w:t>
      </w:r>
    </w:p>
    <w:p w14:paraId="04460D6B" w14:textId="42F7ACAD" w:rsidR="00D3312C" w:rsidRPr="00714F04" w:rsidRDefault="00D3312C" w:rsidP="009949D9">
      <w:r w:rsidRPr="00714F04">
        <w:t>LEED Silver: Baldwin Winery, Visual &amp; Performing Arts Center</w:t>
      </w:r>
    </w:p>
    <w:p w14:paraId="7D92EE6F" w14:textId="32A8416A" w:rsidR="00D3312C" w:rsidRPr="00714F04" w:rsidRDefault="00D3312C" w:rsidP="009949D9">
      <w:r w:rsidRPr="00714F04">
        <w:t>LEED Certified: East Cottage, Multicultural Center, Registration &amp; Student Services Building, Science Center and Seminar Building</w:t>
      </w:r>
    </w:p>
    <w:p w14:paraId="083775BC" w14:textId="6BD9431C" w:rsidR="00D3312C" w:rsidRPr="00714F04" w:rsidRDefault="00F3132A" w:rsidP="009949D9">
      <w:r>
        <w:t>The campus also includes a 3</w:t>
      </w:r>
      <w:r w:rsidR="00D3312C" w:rsidRPr="00714F04">
        <w:t>,000-seat stadium, a physical education and aquatics complex, and a state</w:t>
      </w:r>
      <w:r w:rsidR="00714F04">
        <w:t>-</w:t>
      </w:r>
      <w:r w:rsidR="00D3312C" w:rsidRPr="00714F04">
        <w:t>of-the-art planetarium. The Visual &amp; Performing Arts Center includes a 400-seat performance hall and the Euphrat Museum of Art, which offers classes and hosts exhibitions of student and professional art for the campus and broader community.</w:t>
      </w:r>
    </w:p>
    <w:p w14:paraId="485257B9" w14:textId="77777777" w:rsidR="007740E6" w:rsidRDefault="007740E6" w:rsidP="009949D9"/>
    <w:p w14:paraId="52AC645E" w14:textId="0E759C15" w:rsidR="00D3312C" w:rsidRPr="00714F04" w:rsidRDefault="009E2594" w:rsidP="009949D9">
      <w:pPr>
        <w:rPr>
          <w:b/>
        </w:rPr>
      </w:pPr>
      <w:hyperlink r:id="rId13" w:history="1">
        <w:r w:rsidR="00D3312C" w:rsidRPr="009E2594">
          <w:rPr>
            <w:rStyle w:val="Hyperlink"/>
            <w:b/>
          </w:rPr>
          <w:t>ACCREDITATION</w:t>
        </w:r>
      </w:hyperlink>
    </w:p>
    <w:p w14:paraId="43E75C0F" w14:textId="1E908917" w:rsidR="00D3312C" w:rsidRPr="00714F04" w:rsidRDefault="00D3312C" w:rsidP="009949D9">
      <w:r w:rsidRPr="00714F04">
        <w:t>In June 2018, the Accrediting Commission for Community and Junior Colleges reaffirmed De Anza’s</w:t>
      </w:r>
      <w:r w:rsidR="0049116C">
        <w:t xml:space="preserve"> </w:t>
      </w:r>
      <w:r w:rsidRPr="00714F04">
        <w:t>accreditation for the full seven-year cycle through 2024, with no deficiencies or recommendations, after</w:t>
      </w:r>
      <w:r w:rsidR="0049116C">
        <w:t xml:space="preserve"> </w:t>
      </w:r>
      <w:r w:rsidRPr="00714F04">
        <w:t>considering the findings of an evaluation team that visited the campus and the information in a follow-up</w:t>
      </w:r>
      <w:r w:rsidR="0049116C">
        <w:t xml:space="preserve"> </w:t>
      </w:r>
      <w:r w:rsidRPr="00714F04">
        <w:t>report the college submitted after the visit.</w:t>
      </w:r>
    </w:p>
    <w:p w14:paraId="4ED17C19" w14:textId="7EC867AA" w:rsidR="00D3312C" w:rsidRPr="00D3312C" w:rsidRDefault="00D3312C" w:rsidP="009949D9"/>
    <w:sectPr w:rsidR="00D3312C" w:rsidRPr="00D3312C" w:rsidSect="006D4C4F">
      <w:pgSz w:w="12240" w:h="15840"/>
      <w:pgMar w:top="1440" w:right="1440" w:bottom="1440" w:left="1440" w:header="0" w:footer="792"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4E1478"/>
    <w:multiLevelType w:val="hybridMultilevel"/>
    <w:tmpl w:val="807E0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EE7BA6"/>
    <w:multiLevelType w:val="hybridMultilevel"/>
    <w:tmpl w:val="84460AD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3705575"/>
    <w:multiLevelType w:val="hybridMultilevel"/>
    <w:tmpl w:val="AF247F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95546B"/>
    <w:multiLevelType w:val="hybridMultilevel"/>
    <w:tmpl w:val="839EC27E"/>
    <w:lvl w:ilvl="0" w:tplc="0409000F">
      <w:start w:val="1"/>
      <w:numFmt w:val="decimal"/>
      <w:lvlText w:val="%1."/>
      <w:lvlJc w:val="left"/>
      <w:pPr>
        <w:ind w:left="839" w:hanging="360"/>
      </w:pPr>
    </w:lvl>
    <w:lvl w:ilvl="1" w:tplc="04090019" w:tentative="1">
      <w:start w:val="1"/>
      <w:numFmt w:val="lowerLetter"/>
      <w:lvlText w:val="%2."/>
      <w:lvlJc w:val="left"/>
      <w:pPr>
        <w:ind w:left="1559" w:hanging="360"/>
      </w:pPr>
    </w:lvl>
    <w:lvl w:ilvl="2" w:tplc="0409001B" w:tentative="1">
      <w:start w:val="1"/>
      <w:numFmt w:val="lowerRoman"/>
      <w:lvlText w:val="%3."/>
      <w:lvlJc w:val="right"/>
      <w:pPr>
        <w:ind w:left="2279" w:hanging="180"/>
      </w:pPr>
    </w:lvl>
    <w:lvl w:ilvl="3" w:tplc="0409000F" w:tentative="1">
      <w:start w:val="1"/>
      <w:numFmt w:val="decimal"/>
      <w:lvlText w:val="%4."/>
      <w:lvlJc w:val="left"/>
      <w:pPr>
        <w:ind w:left="2999" w:hanging="360"/>
      </w:pPr>
    </w:lvl>
    <w:lvl w:ilvl="4" w:tplc="04090019" w:tentative="1">
      <w:start w:val="1"/>
      <w:numFmt w:val="lowerLetter"/>
      <w:lvlText w:val="%5."/>
      <w:lvlJc w:val="left"/>
      <w:pPr>
        <w:ind w:left="3719" w:hanging="360"/>
      </w:pPr>
    </w:lvl>
    <w:lvl w:ilvl="5" w:tplc="0409001B" w:tentative="1">
      <w:start w:val="1"/>
      <w:numFmt w:val="lowerRoman"/>
      <w:lvlText w:val="%6."/>
      <w:lvlJc w:val="right"/>
      <w:pPr>
        <w:ind w:left="4439" w:hanging="180"/>
      </w:pPr>
    </w:lvl>
    <w:lvl w:ilvl="6" w:tplc="0409000F" w:tentative="1">
      <w:start w:val="1"/>
      <w:numFmt w:val="decimal"/>
      <w:lvlText w:val="%7."/>
      <w:lvlJc w:val="left"/>
      <w:pPr>
        <w:ind w:left="5159" w:hanging="360"/>
      </w:pPr>
    </w:lvl>
    <w:lvl w:ilvl="7" w:tplc="04090019" w:tentative="1">
      <w:start w:val="1"/>
      <w:numFmt w:val="lowerLetter"/>
      <w:lvlText w:val="%8."/>
      <w:lvlJc w:val="left"/>
      <w:pPr>
        <w:ind w:left="5879" w:hanging="360"/>
      </w:pPr>
    </w:lvl>
    <w:lvl w:ilvl="8" w:tplc="0409001B" w:tentative="1">
      <w:start w:val="1"/>
      <w:numFmt w:val="lowerRoman"/>
      <w:lvlText w:val="%9."/>
      <w:lvlJc w:val="right"/>
      <w:pPr>
        <w:ind w:left="6599" w:hanging="180"/>
      </w:pPr>
    </w:lvl>
  </w:abstractNum>
  <w:abstractNum w:abstractNumId="4" w15:restartNumberingAfterBreak="0">
    <w:nsid w:val="20121162"/>
    <w:multiLevelType w:val="hybridMultilevel"/>
    <w:tmpl w:val="9CB0A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704C71"/>
    <w:multiLevelType w:val="multilevel"/>
    <w:tmpl w:val="A57AC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43907B8"/>
    <w:multiLevelType w:val="multilevel"/>
    <w:tmpl w:val="9C2E11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9E179EE"/>
    <w:multiLevelType w:val="multilevel"/>
    <w:tmpl w:val="ED600E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CA766F7"/>
    <w:multiLevelType w:val="hybridMultilevel"/>
    <w:tmpl w:val="589020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5D64002"/>
    <w:multiLevelType w:val="hybridMultilevel"/>
    <w:tmpl w:val="82CC5B9A"/>
    <w:lvl w:ilvl="0" w:tplc="BCAA7B16">
      <w:start w:val="1"/>
      <w:numFmt w:val="decimal"/>
      <w:lvlText w:val="%1."/>
      <w:lvlJc w:val="left"/>
      <w:pPr>
        <w:ind w:left="939" w:hanging="543"/>
      </w:pPr>
      <w:rPr>
        <w:rFonts w:ascii="Arial" w:eastAsia="Arial" w:hAnsi="Arial" w:cs="Arial" w:hint="default"/>
        <w:spacing w:val="-1"/>
        <w:w w:val="100"/>
        <w:sz w:val="22"/>
        <w:szCs w:val="22"/>
        <w:lang w:val="en-US" w:eastAsia="en-US" w:bidi="en-US"/>
      </w:rPr>
    </w:lvl>
    <w:lvl w:ilvl="1" w:tplc="711CD266">
      <w:numFmt w:val="bullet"/>
      <w:lvlText w:val="•"/>
      <w:lvlJc w:val="left"/>
      <w:pPr>
        <w:ind w:left="1878" w:hanging="543"/>
      </w:pPr>
      <w:rPr>
        <w:rFonts w:hint="default"/>
        <w:lang w:val="en-US" w:eastAsia="en-US" w:bidi="en-US"/>
      </w:rPr>
    </w:lvl>
    <w:lvl w:ilvl="2" w:tplc="4C84BA2C">
      <w:numFmt w:val="bullet"/>
      <w:lvlText w:val="•"/>
      <w:lvlJc w:val="left"/>
      <w:pPr>
        <w:ind w:left="2816" w:hanging="543"/>
      </w:pPr>
      <w:rPr>
        <w:rFonts w:hint="default"/>
        <w:lang w:val="en-US" w:eastAsia="en-US" w:bidi="en-US"/>
      </w:rPr>
    </w:lvl>
    <w:lvl w:ilvl="3" w:tplc="9A02CA98">
      <w:numFmt w:val="bullet"/>
      <w:lvlText w:val="•"/>
      <w:lvlJc w:val="left"/>
      <w:pPr>
        <w:ind w:left="3754" w:hanging="543"/>
      </w:pPr>
      <w:rPr>
        <w:rFonts w:hint="default"/>
        <w:lang w:val="en-US" w:eastAsia="en-US" w:bidi="en-US"/>
      </w:rPr>
    </w:lvl>
    <w:lvl w:ilvl="4" w:tplc="DE3885FE">
      <w:numFmt w:val="bullet"/>
      <w:lvlText w:val="•"/>
      <w:lvlJc w:val="left"/>
      <w:pPr>
        <w:ind w:left="4692" w:hanging="543"/>
      </w:pPr>
      <w:rPr>
        <w:rFonts w:hint="default"/>
        <w:lang w:val="en-US" w:eastAsia="en-US" w:bidi="en-US"/>
      </w:rPr>
    </w:lvl>
    <w:lvl w:ilvl="5" w:tplc="E0BE5DEA">
      <w:numFmt w:val="bullet"/>
      <w:lvlText w:val="•"/>
      <w:lvlJc w:val="left"/>
      <w:pPr>
        <w:ind w:left="5630" w:hanging="543"/>
      </w:pPr>
      <w:rPr>
        <w:rFonts w:hint="default"/>
        <w:lang w:val="en-US" w:eastAsia="en-US" w:bidi="en-US"/>
      </w:rPr>
    </w:lvl>
    <w:lvl w:ilvl="6" w:tplc="5E3C98AA">
      <w:numFmt w:val="bullet"/>
      <w:lvlText w:val="•"/>
      <w:lvlJc w:val="left"/>
      <w:pPr>
        <w:ind w:left="6568" w:hanging="543"/>
      </w:pPr>
      <w:rPr>
        <w:rFonts w:hint="default"/>
        <w:lang w:val="en-US" w:eastAsia="en-US" w:bidi="en-US"/>
      </w:rPr>
    </w:lvl>
    <w:lvl w:ilvl="7" w:tplc="2138D4E6">
      <w:numFmt w:val="bullet"/>
      <w:lvlText w:val="•"/>
      <w:lvlJc w:val="left"/>
      <w:pPr>
        <w:ind w:left="7506" w:hanging="543"/>
      </w:pPr>
      <w:rPr>
        <w:rFonts w:hint="default"/>
        <w:lang w:val="en-US" w:eastAsia="en-US" w:bidi="en-US"/>
      </w:rPr>
    </w:lvl>
    <w:lvl w:ilvl="8" w:tplc="0F768D8C">
      <w:numFmt w:val="bullet"/>
      <w:lvlText w:val="•"/>
      <w:lvlJc w:val="left"/>
      <w:pPr>
        <w:ind w:left="8444" w:hanging="543"/>
      </w:pPr>
      <w:rPr>
        <w:rFonts w:hint="default"/>
        <w:lang w:val="en-US" w:eastAsia="en-US" w:bidi="en-US"/>
      </w:rPr>
    </w:lvl>
  </w:abstractNum>
  <w:abstractNum w:abstractNumId="10" w15:restartNumberingAfterBreak="0">
    <w:nsid w:val="65D31A26"/>
    <w:multiLevelType w:val="hybridMultilevel"/>
    <w:tmpl w:val="9530EA0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35851AB"/>
    <w:multiLevelType w:val="hybridMultilevel"/>
    <w:tmpl w:val="506CD7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5CA12E4"/>
    <w:multiLevelType w:val="hybridMultilevel"/>
    <w:tmpl w:val="AB7423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5"/>
  </w:num>
  <w:num w:numId="3">
    <w:abstractNumId w:val="6"/>
  </w:num>
  <w:num w:numId="4">
    <w:abstractNumId w:val="7"/>
  </w:num>
  <w:num w:numId="5">
    <w:abstractNumId w:val="1"/>
  </w:num>
  <w:num w:numId="6">
    <w:abstractNumId w:val="10"/>
  </w:num>
  <w:num w:numId="7">
    <w:abstractNumId w:val="0"/>
  </w:num>
  <w:num w:numId="8">
    <w:abstractNumId w:val="8"/>
  </w:num>
  <w:num w:numId="9">
    <w:abstractNumId w:val="11"/>
  </w:num>
  <w:num w:numId="10">
    <w:abstractNumId w:val="12"/>
  </w:num>
  <w:num w:numId="11">
    <w:abstractNumId w:val="4"/>
  </w:num>
  <w:num w:numId="12">
    <w:abstractNumId w:val="2"/>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7583"/>
    <w:rsid w:val="000E07C4"/>
    <w:rsid w:val="00164C6B"/>
    <w:rsid w:val="001709A4"/>
    <w:rsid w:val="001C7327"/>
    <w:rsid w:val="002566FF"/>
    <w:rsid w:val="003723D4"/>
    <w:rsid w:val="003E753A"/>
    <w:rsid w:val="003F5C77"/>
    <w:rsid w:val="00476AC5"/>
    <w:rsid w:val="0049116C"/>
    <w:rsid w:val="004A4E46"/>
    <w:rsid w:val="00560689"/>
    <w:rsid w:val="00593205"/>
    <w:rsid w:val="005972F3"/>
    <w:rsid w:val="00647596"/>
    <w:rsid w:val="006D4C4F"/>
    <w:rsid w:val="00714F04"/>
    <w:rsid w:val="00765B7F"/>
    <w:rsid w:val="007740E6"/>
    <w:rsid w:val="008A40AC"/>
    <w:rsid w:val="008F0EAD"/>
    <w:rsid w:val="009949D9"/>
    <w:rsid w:val="009E2594"/>
    <w:rsid w:val="00A24525"/>
    <w:rsid w:val="00A3750C"/>
    <w:rsid w:val="00A92DDD"/>
    <w:rsid w:val="00B70945"/>
    <w:rsid w:val="00BB0D44"/>
    <w:rsid w:val="00C33BE2"/>
    <w:rsid w:val="00C9670D"/>
    <w:rsid w:val="00D3312C"/>
    <w:rsid w:val="00D8743E"/>
    <w:rsid w:val="00DB7583"/>
    <w:rsid w:val="00E94256"/>
    <w:rsid w:val="00EE48D2"/>
    <w:rsid w:val="00F06875"/>
    <w:rsid w:val="00F3132A"/>
    <w:rsid w:val="00F5792E"/>
    <w:rsid w:val="00FE61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3F7B35"/>
  <w15:chartTrackingRefBased/>
  <w15:docId w15:val="{F438B4C8-5FCF-4CC5-9890-43E60FA887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949D9"/>
    <w:rPr>
      <w:rFonts w:ascii="Times New Roman" w:hAnsi="Times New Roman"/>
      <w:sz w:val="24"/>
    </w:rPr>
  </w:style>
  <w:style w:type="paragraph" w:styleId="Heading1">
    <w:name w:val="heading 1"/>
    <w:basedOn w:val="Normal"/>
    <w:next w:val="Normal"/>
    <w:link w:val="Heading1Char"/>
    <w:uiPriority w:val="9"/>
    <w:qFormat/>
    <w:rsid w:val="003E753A"/>
    <w:pPr>
      <w:keepNext/>
      <w:keepLines/>
      <w:spacing w:before="240" w:after="0"/>
      <w:jc w:val="center"/>
      <w:outlineLvl w:val="0"/>
    </w:pPr>
    <w:rPr>
      <w:rFonts w:eastAsiaTheme="majorEastAsia" w:cstheme="majorBidi"/>
      <w:b/>
      <w:sz w:val="28"/>
      <w:szCs w:val="32"/>
    </w:rPr>
  </w:style>
  <w:style w:type="paragraph" w:styleId="Heading2">
    <w:name w:val="heading 2"/>
    <w:basedOn w:val="Normal"/>
    <w:link w:val="Heading2Char"/>
    <w:uiPriority w:val="1"/>
    <w:qFormat/>
    <w:rsid w:val="003E753A"/>
    <w:pPr>
      <w:widowControl w:val="0"/>
      <w:autoSpaceDE w:val="0"/>
      <w:autoSpaceDN w:val="0"/>
      <w:spacing w:after="0" w:line="240" w:lineRule="auto"/>
      <w:ind w:left="119"/>
      <w:outlineLvl w:val="1"/>
    </w:pPr>
    <w:rPr>
      <w:rFonts w:eastAsia="Arial" w:cs="Arial"/>
      <w:b/>
      <w:bCs/>
      <w:i/>
      <w:lang w:bidi="en-US"/>
    </w:rPr>
  </w:style>
  <w:style w:type="paragraph" w:styleId="Heading3">
    <w:name w:val="heading 3"/>
    <w:basedOn w:val="Normal"/>
    <w:next w:val="Normal"/>
    <w:link w:val="Heading3Char"/>
    <w:uiPriority w:val="9"/>
    <w:unhideWhenUsed/>
    <w:qFormat/>
    <w:rsid w:val="00164C6B"/>
    <w:pPr>
      <w:keepNext/>
      <w:keepLines/>
      <w:spacing w:before="40" w:after="0"/>
      <w:outlineLvl w:val="2"/>
    </w:pPr>
    <w:rPr>
      <w:rFonts w:asciiTheme="majorHAnsi" w:eastAsiaTheme="majorEastAsia" w:hAnsiTheme="majorHAnsi" w:cstheme="majorBidi"/>
      <w:color w:val="1F4D78"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1"/>
    <w:rsid w:val="003E753A"/>
    <w:rPr>
      <w:rFonts w:ascii="Times New Roman" w:eastAsia="Arial" w:hAnsi="Times New Roman" w:cs="Arial"/>
      <w:b/>
      <w:bCs/>
      <w:i/>
      <w:sz w:val="24"/>
      <w:lang w:bidi="en-US"/>
    </w:rPr>
  </w:style>
  <w:style w:type="paragraph" w:styleId="BodyText">
    <w:name w:val="Body Text"/>
    <w:basedOn w:val="Normal"/>
    <w:link w:val="BodyTextChar"/>
    <w:uiPriority w:val="1"/>
    <w:qFormat/>
    <w:rsid w:val="00DB7583"/>
    <w:pPr>
      <w:widowControl w:val="0"/>
      <w:autoSpaceDE w:val="0"/>
      <w:autoSpaceDN w:val="0"/>
      <w:spacing w:after="0" w:line="240" w:lineRule="auto"/>
    </w:pPr>
    <w:rPr>
      <w:rFonts w:ascii="Arial" w:eastAsia="Arial" w:hAnsi="Arial" w:cs="Arial"/>
      <w:lang w:bidi="en-US"/>
    </w:rPr>
  </w:style>
  <w:style w:type="character" w:customStyle="1" w:styleId="BodyTextChar">
    <w:name w:val="Body Text Char"/>
    <w:basedOn w:val="DefaultParagraphFont"/>
    <w:link w:val="BodyText"/>
    <w:uiPriority w:val="1"/>
    <w:rsid w:val="00DB7583"/>
    <w:rPr>
      <w:rFonts w:ascii="Arial" w:eastAsia="Arial" w:hAnsi="Arial" w:cs="Arial"/>
      <w:lang w:bidi="en-US"/>
    </w:rPr>
  </w:style>
  <w:style w:type="paragraph" w:styleId="ListParagraph">
    <w:name w:val="List Paragraph"/>
    <w:basedOn w:val="Normal"/>
    <w:uiPriority w:val="1"/>
    <w:qFormat/>
    <w:rsid w:val="00DB7583"/>
    <w:pPr>
      <w:widowControl w:val="0"/>
      <w:autoSpaceDE w:val="0"/>
      <w:autoSpaceDN w:val="0"/>
      <w:spacing w:after="0" w:line="240" w:lineRule="auto"/>
      <w:ind w:left="840" w:hanging="720"/>
    </w:pPr>
    <w:rPr>
      <w:rFonts w:ascii="Arial" w:eastAsia="Arial" w:hAnsi="Arial" w:cs="Arial"/>
      <w:lang w:bidi="en-US"/>
    </w:rPr>
  </w:style>
  <w:style w:type="paragraph" w:customStyle="1" w:styleId="Default">
    <w:name w:val="Default"/>
    <w:rsid w:val="00C33BE2"/>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C33BE2"/>
    <w:rPr>
      <w:color w:val="0563C1" w:themeColor="hyperlink"/>
      <w:u w:val="single"/>
    </w:rPr>
  </w:style>
  <w:style w:type="character" w:customStyle="1" w:styleId="UnresolvedMention1">
    <w:name w:val="Unresolved Mention1"/>
    <w:basedOn w:val="DefaultParagraphFont"/>
    <w:uiPriority w:val="99"/>
    <w:semiHidden/>
    <w:unhideWhenUsed/>
    <w:rsid w:val="00C33BE2"/>
    <w:rPr>
      <w:color w:val="605E5C"/>
      <w:shd w:val="clear" w:color="auto" w:fill="E1DFDD"/>
    </w:rPr>
  </w:style>
  <w:style w:type="character" w:styleId="Strong">
    <w:name w:val="Strong"/>
    <w:basedOn w:val="DefaultParagraphFont"/>
    <w:uiPriority w:val="22"/>
    <w:qFormat/>
    <w:rsid w:val="00164C6B"/>
    <w:rPr>
      <w:b/>
      <w:bCs/>
    </w:rPr>
  </w:style>
  <w:style w:type="character" w:customStyle="1" w:styleId="Heading3Char">
    <w:name w:val="Heading 3 Char"/>
    <w:basedOn w:val="DefaultParagraphFont"/>
    <w:link w:val="Heading3"/>
    <w:uiPriority w:val="9"/>
    <w:rsid w:val="00164C6B"/>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647596"/>
    <w:pPr>
      <w:spacing w:before="100" w:beforeAutospacing="1" w:after="100" w:afterAutospacing="1" w:line="240" w:lineRule="auto"/>
    </w:pPr>
    <w:rPr>
      <w:rFonts w:eastAsia="Times New Roman" w:cs="Times New Roman"/>
      <w:szCs w:val="24"/>
    </w:rPr>
  </w:style>
  <w:style w:type="table" w:styleId="TableGrid">
    <w:name w:val="Table Grid"/>
    <w:basedOn w:val="TableNormal"/>
    <w:uiPriority w:val="39"/>
    <w:rsid w:val="00EE48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3E753A"/>
    <w:rPr>
      <w:rFonts w:ascii="Times New Roman" w:eastAsiaTheme="majorEastAsia" w:hAnsi="Times New Roman" w:cstheme="majorBidi"/>
      <w:b/>
      <w:sz w:val="28"/>
      <w:szCs w:val="32"/>
    </w:rPr>
  </w:style>
  <w:style w:type="character" w:styleId="UnresolvedMention">
    <w:name w:val="Unresolved Mention"/>
    <w:basedOn w:val="DefaultParagraphFont"/>
    <w:uiPriority w:val="99"/>
    <w:semiHidden/>
    <w:unhideWhenUsed/>
    <w:rsid w:val="009E25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583169">
      <w:bodyDiv w:val="1"/>
      <w:marLeft w:val="0"/>
      <w:marRight w:val="0"/>
      <w:marTop w:val="0"/>
      <w:marBottom w:val="0"/>
      <w:divBdr>
        <w:top w:val="none" w:sz="0" w:space="0" w:color="auto"/>
        <w:left w:val="none" w:sz="0" w:space="0" w:color="auto"/>
        <w:bottom w:val="none" w:sz="0" w:space="0" w:color="auto"/>
        <w:right w:val="none" w:sz="0" w:space="0" w:color="auto"/>
      </w:divBdr>
    </w:div>
    <w:div w:id="149568003">
      <w:bodyDiv w:val="1"/>
      <w:marLeft w:val="0"/>
      <w:marRight w:val="0"/>
      <w:marTop w:val="0"/>
      <w:marBottom w:val="0"/>
      <w:divBdr>
        <w:top w:val="none" w:sz="0" w:space="0" w:color="auto"/>
        <w:left w:val="none" w:sz="0" w:space="0" w:color="auto"/>
        <w:bottom w:val="none" w:sz="0" w:space="0" w:color="auto"/>
        <w:right w:val="none" w:sz="0" w:space="0" w:color="auto"/>
      </w:divBdr>
      <w:divsChild>
        <w:div w:id="903032025">
          <w:marLeft w:val="-225"/>
          <w:marRight w:val="-225"/>
          <w:marTop w:val="0"/>
          <w:marBottom w:val="0"/>
          <w:divBdr>
            <w:top w:val="none" w:sz="0" w:space="0" w:color="auto"/>
            <w:left w:val="none" w:sz="0" w:space="0" w:color="auto"/>
            <w:bottom w:val="none" w:sz="0" w:space="0" w:color="auto"/>
            <w:right w:val="none" w:sz="0" w:space="0" w:color="auto"/>
          </w:divBdr>
          <w:divsChild>
            <w:div w:id="1921330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434400">
      <w:bodyDiv w:val="1"/>
      <w:marLeft w:val="0"/>
      <w:marRight w:val="0"/>
      <w:marTop w:val="0"/>
      <w:marBottom w:val="0"/>
      <w:divBdr>
        <w:top w:val="none" w:sz="0" w:space="0" w:color="auto"/>
        <w:left w:val="none" w:sz="0" w:space="0" w:color="auto"/>
        <w:bottom w:val="none" w:sz="0" w:space="0" w:color="auto"/>
        <w:right w:val="none" w:sz="0" w:space="0" w:color="auto"/>
      </w:divBdr>
    </w:div>
    <w:div w:id="1157070362">
      <w:bodyDiv w:val="1"/>
      <w:marLeft w:val="0"/>
      <w:marRight w:val="0"/>
      <w:marTop w:val="0"/>
      <w:marBottom w:val="0"/>
      <w:divBdr>
        <w:top w:val="none" w:sz="0" w:space="0" w:color="auto"/>
        <w:left w:val="none" w:sz="0" w:space="0" w:color="auto"/>
        <w:bottom w:val="none" w:sz="0" w:space="0" w:color="auto"/>
        <w:right w:val="none" w:sz="0" w:space="0" w:color="auto"/>
      </w:divBdr>
    </w:div>
    <w:div w:id="1261452311">
      <w:bodyDiv w:val="1"/>
      <w:marLeft w:val="0"/>
      <w:marRight w:val="0"/>
      <w:marTop w:val="0"/>
      <w:marBottom w:val="0"/>
      <w:divBdr>
        <w:top w:val="none" w:sz="0" w:space="0" w:color="auto"/>
        <w:left w:val="none" w:sz="0" w:space="0" w:color="auto"/>
        <w:bottom w:val="none" w:sz="0" w:space="0" w:color="auto"/>
        <w:right w:val="none" w:sz="0" w:space="0" w:color="auto"/>
      </w:divBdr>
    </w:div>
    <w:div w:id="1670327273">
      <w:bodyDiv w:val="1"/>
      <w:marLeft w:val="0"/>
      <w:marRight w:val="0"/>
      <w:marTop w:val="0"/>
      <w:marBottom w:val="0"/>
      <w:divBdr>
        <w:top w:val="none" w:sz="0" w:space="0" w:color="auto"/>
        <w:left w:val="none" w:sz="0" w:space="0" w:color="auto"/>
        <w:bottom w:val="none" w:sz="0" w:space="0" w:color="auto"/>
        <w:right w:val="none" w:sz="0" w:space="0" w:color="auto"/>
      </w:divBdr>
    </w:div>
    <w:div w:id="1677804787">
      <w:bodyDiv w:val="1"/>
      <w:marLeft w:val="0"/>
      <w:marRight w:val="0"/>
      <w:marTop w:val="0"/>
      <w:marBottom w:val="0"/>
      <w:divBdr>
        <w:top w:val="none" w:sz="0" w:space="0" w:color="auto"/>
        <w:left w:val="none" w:sz="0" w:space="0" w:color="auto"/>
        <w:bottom w:val="none" w:sz="0" w:space="0" w:color="auto"/>
        <w:right w:val="none" w:sz="0" w:space="0" w:color="auto"/>
      </w:divBdr>
    </w:div>
    <w:div w:id="1886018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eanza.edu/resources/index.html" TargetMode="External"/><Relationship Id="rId13" Type="http://schemas.openxmlformats.org/officeDocument/2006/relationships/hyperlink" Target="https://www.deanza.edu/accreditation/" TargetMode="External"/><Relationship Id="rId3" Type="http://schemas.openxmlformats.org/officeDocument/2006/relationships/settings" Target="settings.xml"/><Relationship Id="rId7" Type="http://schemas.openxmlformats.org/officeDocument/2006/relationships/hyperlink" Target="https://www.deanza.edu/promise/index.html" TargetMode="External"/><Relationship Id="rId12" Type="http://schemas.openxmlformats.org/officeDocument/2006/relationships/hyperlink" Target="https://www.deanza.edu/sustainabilit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deanza.edu/gov/academicsenate/camm.html" TargetMode="External"/><Relationship Id="rId11" Type="http://schemas.openxmlformats.org/officeDocument/2006/relationships/hyperlink" Target="https://www.deanza.edu/online-ed/" TargetMode="External"/><Relationship Id="rId5" Type="http://schemas.openxmlformats.org/officeDocument/2006/relationships/hyperlink" Target="https://www.deanza.edu/sssp-se-bsi/sssp-overview.html" TargetMode="External"/><Relationship Id="rId15" Type="http://schemas.openxmlformats.org/officeDocument/2006/relationships/theme" Target="theme/theme1.xml"/><Relationship Id="rId10" Type="http://schemas.openxmlformats.org/officeDocument/2006/relationships/hyperlink" Target="https://www.deanza.edu/mps/index.html" TargetMode="External"/><Relationship Id="rId4" Type="http://schemas.openxmlformats.org/officeDocument/2006/relationships/webSettings" Target="webSettings.xml"/><Relationship Id="rId9" Type="http://schemas.openxmlformats.org/officeDocument/2006/relationships/hyperlink" Target="https://www.deanza.edu/academic-services/oer/"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1565</Words>
  <Characters>8922</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 Anza Community College</dc:creator>
  <cp:keywords/>
  <dc:description/>
  <cp:lastModifiedBy>Microsoft Office User</cp:lastModifiedBy>
  <cp:revision>3</cp:revision>
  <dcterms:created xsi:type="dcterms:W3CDTF">2022-02-16T18:27:00Z</dcterms:created>
  <dcterms:modified xsi:type="dcterms:W3CDTF">2022-02-16T18:34:00Z</dcterms:modified>
</cp:coreProperties>
</file>